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ED193">
      <w:pPr>
        <w:spacing w:before="230" w:line="195" w:lineRule="auto"/>
        <w:ind w:left="32"/>
        <w:rPr>
          <w:rFonts w:ascii="Times New Roman" w:hAnsi="Times New Roman" w:eastAsia="Times New Roman" w:cs="Times New Roman"/>
          <w:sz w:val="28"/>
          <w:szCs w:val="28"/>
        </w:rPr>
      </w:pPr>
      <w:r>
        <w:rPr>
          <w:rFonts w:ascii="微软雅黑" w:hAnsi="微软雅黑" w:eastAsia="微软雅黑" w:cs="微软雅黑"/>
          <w:spacing w:val="-6"/>
          <w:sz w:val="28"/>
          <w:szCs w:val="28"/>
        </w:rPr>
        <w:t>附件</w:t>
      </w:r>
      <w:r>
        <w:rPr>
          <w:rFonts w:ascii="微软雅黑" w:hAnsi="微软雅黑" w:eastAsia="微软雅黑" w:cs="微软雅黑"/>
          <w:spacing w:val="20"/>
          <w:sz w:val="28"/>
          <w:szCs w:val="28"/>
        </w:rPr>
        <w:t xml:space="preserve"> </w:t>
      </w:r>
      <w:r>
        <w:rPr>
          <w:rFonts w:ascii="Times New Roman" w:hAnsi="Times New Roman" w:eastAsia="Times New Roman" w:cs="Times New Roman"/>
          <w:spacing w:val="-6"/>
          <w:sz w:val="28"/>
          <w:szCs w:val="28"/>
        </w:rPr>
        <w:t>1</w:t>
      </w:r>
    </w:p>
    <w:p w14:paraId="4BFFE2ED">
      <w:pPr>
        <w:spacing w:line="413" w:lineRule="auto"/>
        <w:rPr>
          <w:rFonts w:ascii="Arial"/>
          <w:sz w:val="21"/>
        </w:rPr>
      </w:pPr>
    </w:p>
    <w:p w14:paraId="5C72B35D">
      <w:pPr>
        <w:spacing w:before="185" w:line="182" w:lineRule="auto"/>
        <w:ind w:left="213"/>
        <w:outlineLvl w:val="0"/>
        <w:rPr>
          <w:rFonts w:ascii="微软雅黑" w:hAnsi="微软雅黑" w:eastAsia="微软雅黑" w:cs="微软雅黑"/>
          <w:sz w:val="43"/>
          <w:szCs w:val="43"/>
        </w:rPr>
      </w:pPr>
      <w:r>
        <w:rPr>
          <w:rFonts w:ascii="微软雅黑" w:hAnsi="微软雅黑" w:eastAsia="微软雅黑" w:cs="微软雅黑"/>
          <w:spacing w:val="9"/>
          <w:sz w:val="43"/>
          <w:szCs w:val="43"/>
        </w:rPr>
        <w:t>一、高层建筑火灾高效灭火方法与灭火装</w:t>
      </w:r>
    </w:p>
    <w:p w14:paraId="22774771">
      <w:pPr>
        <w:spacing w:before="2" w:line="197" w:lineRule="auto"/>
        <w:ind w:left="3069"/>
        <w:outlineLvl w:val="0"/>
        <w:rPr>
          <w:rFonts w:ascii="微软雅黑" w:hAnsi="微软雅黑" w:eastAsia="微软雅黑" w:cs="微软雅黑"/>
          <w:sz w:val="43"/>
          <w:szCs w:val="43"/>
        </w:rPr>
      </w:pPr>
      <w:r>
        <w:rPr>
          <w:rFonts w:ascii="微软雅黑" w:hAnsi="微软雅黑" w:eastAsia="微软雅黑" w:cs="微软雅黑"/>
          <w:spacing w:val="9"/>
          <w:sz w:val="43"/>
          <w:szCs w:val="43"/>
        </w:rPr>
        <w:t>备指南研究</w:t>
      </w:r>
    </w:p>
    <w:p w14:paraId="055C72D4">
      <w:pPr>
        <w:spacing w:before="50" w:line="223" w:lineRule="auto"/>
        <w:ind w:left="693"/>
        <w:outlineLvl w:val="1"/>
        <w:rPr>
          <w:rFonts w:ascii="楷体" w:hAnsi="楷体" w:eastAsia="楷体" w:cs="楷体"/>
          <w:sz w:val="31"/>
          <w:szCs w:val="31"/>
        </w:rPr>
      </w:pPr>
      <w:r>
        <w:rPr>
          <w:rFonts w:ascii="楷体" w:hAnsi="楷体" w:eastAsia="楷体" w:cs="楷体"/>
          <w:spacing w:val="7"/>
          <w:sz w:val="31"/>
          <w:szCs w:val="31"/>
        </w:rPr>
        <w:t>（一）所属研究方向及攻关任务</w:t>
      </w:r>
    </w:p>
    <w:p w14:paraId="6A392433">
      <w:pPr>
        <w:pStyle w:val="2"/>
        <w:spacing w:before="241" w:line="371" w:lineRule="auto"/>
        <w:ind w:left="32" w:right="79" w:firstLine="557"/>
      </w:pPr>
      <w:r>
        <w:rPr>
          <w:spacing w:val="6"/>
        </w:rPr>
        <w:t>对应随州应急产业院士工作站高层建筑火灾高效灭火方法与灭</w:t>
      </w:r>
      <w:r>
        <w:rPr>
          <w:spacing w:val="-2"/>
        </w:rPr>
        <w:t>火装备</w:t>
      </w:r>
      <w:r>
        <w:rPr>
          <w:rFonts w:hint="eastAsia"/>
          <w:spacing w:val="-2"/>
          <w:lang w:eastAsia="zh-CN"/>
        </w:rPr>
        <w:t>研究</w:t>
      </w:r>
      <w:r>
        <w:rPr>
          <w:spacing w:val="-2"/>
        </w:rPr>
        <w:t>指南编制任务。</w:t>
      </w:r>
    </w:p>
    <w:p w14:paraId="265A4126">
      <w:pPr>
        <w:spacing w:before="1" w:line="225" w:lineRule="auto"/>
        <w:ind w:left="693"/>
        <w:outlineLvl w:val="1"/>
        <w:rPr>
          <w:rFonts w:ascii="楷体" w:hAnsi="楷体" w:eastAsia="楷体" w:cs="楷体"/>
          <w:sz w:val="31"/>
          <w:szCs w:val="31"/>
        </w:rPr>
      </w:pPr>
      <w:r>
        <w:rPr>
          <w:rFonts w:ascii="楷体" w:hAnsi="楷体" w:eastAsia="楷体" w:cs="楷体"/>
          <w:spacing w:val="3"/>
          <w:sz w:val="31"/>
          <w:szCs w:val="31"/>
        </w:rPr>
        <w:t>（二）必要性</w:t>
      </w:r>
    </w:p>
    <w:p w14:paraId="7A75A89C">
      <w:pPr>
        <w:pStyle w:val="2"/>
        <w:spacing w:before="230" w:line="382" w:lineRule="auto"/>
        <w:ind w:left="22" w:firstLine="557"/>
        <w:jc w:val="both"/>
      </w:pPr>
      <w:r>
        <w:rPr>
          <w:rFonts w:ascii="Times New Roman" w:hAnsi="Times New Roman" w:eastAsia="Times New Roman" w:cs="Times New Roman"/>
          <w:spacing w:val="-3"/>
        </w:rPr>
        <w:t>2007</w:t>
      </w:r>
      <w:r>
        <w:rPr>
          <w:spacing w:val="-3"/>
        </w:rPr>
        <w:t>—</w:t>
      </w:r>
      <w:r>
        <w:rPr>
          <w:rFonts w:ascii="Times New Roman" w:hAnsi="Times New Roman" w:eastAsia="Times New Roman" w:cs="Times New Roman"/>
          <w:spacing w:val="-3"/>
        </w:rPr>
        <w:t>2025</w:t>
      </w:r>
      <w:r>
        <w:rPr>
          <w:spacing w:val="-3"/>
        </w:rPr>
        <w:t>年，我国累计发生高层建筑火灾</w:t>
      </w:r>
      <w:r>
        <w:rPr>
          <w:rFonts w:ascii="Times New Roman" w:hAnsi="Times New Roman" w:eastAsia="Times New Roman" w:cs="Times New Roman"/>
          <w:spacing w:val="-3"/>
        </w:rPr>
        <w:t>21.2</w:t>
      </w:r>
      <w:r>
        <w:rPr>
          <w:spacing w:val="-3"/>
        </w:rPr>
        <w:t>万余起，造成</w:t>
      </w:r>
      <w:r>
        <w:rPr>
          <w:rFonts w:ascii="Times New Roman" w:hAnsi="Times New Roman" w:eastAsia="Times New Roman" w:cs="Times New Roman"/>
          <w:spacing w:val="-5"/>
        </w:rPr>
        <w:t>1943</w:t>
      </w:r>
      <w:r>
        <w:rPr>
          <w:spacing w:val="-5"/>
        </w:rPr>
        <w:t>人死亡。高层建筑火灾火点高、蔓延快、扑</w:t>
      </w:r>
      <w:r>
        <w:rPr>
          <w:spacing w:val="-6"/>
        </w:rPr>
        <w:t>救距离远，现有科研</w:t>
      </w:r>
      <w:r>
        <w:rPr>
          <w:spacing w:val="-4"/>
        </w:rPr>
        <w:t>布局和技术成果尚难为实战扑救提供系统支撑。围绕试验平台、火灾</w:t>
      </w:r>
      <w:r>
        <w:rPr>
          <w:spacing w:val="-3"/>
        </w:rPr>
        <w:t>动力学、灭火剂和灭火装备开展科研攻关，</w:t>
      </w:r>
      <w:r>
        <w:rPr>
          <w:spacing w:val="-4"/>
        </w:rPr>
        <w:t>是提升高层建筑火灾扑救</w:t>
      </w:r>
      <w:r>
        <w:rPr>
          <w:spacing w:val="-3"/>
        </w:rPr>
        <w:t>能力的重要途径。项目指南是统筹科研布局</w:t>
      </w:r>
      <w:r>
        <w:rPr>
          <w:spacing w:val="-4"/>
        </w:rPr>
        <w:t>、设置攻关项目和组织项</w:t>
      </w:r>
      <w:r>
        <w:rPr>
          <w:spacing w:val="-10"/>
        </w:rPr>
        <w:t>目实施的重要依据，有助于增强科研攻关的系统性、针对性和协同性，</w:t>
      </w:r>
      <w:r>
        <w:rPr>
          <w:spacing w:val="-5"/>
        </w:rPr>
        <w:t>但目前存在如下问题：</w:t>
      </w:r>
    </w:p>
    <w:p w14:paraId="056C3CFA">
      <w:pPr>
        <w:pStyle w:val="2"/>
        <w:spacing w:before="9" w:line="379" w:lineRule="auto"/>
        <w:ind w:left="26" w:right="77" w:firstLine="579"/>
      </w:pPr>
      <w:r>
        <w:rPr>
          <w:rFonts w:ascii="Times New Roman" w:hAnsi="Times New Roman" w:eastAsia="Times New Roman" w:cs="Times New Roman"/>
        </w:rPr>
        <w:t>1</w:t>
      </w:r>
      <w:r>
        <w:t>）总体布局方面，现有研究多围绕单项技术和单类装备分散开</w:t>
      </w:r>
      <w:r>
        <w:rPr>
          <w:spacing w:val="-4"/>
        </w:rPr>
        <w:t>展，各研究方向之间缺乏系统衔接，难以形成从方法研究、关键技术</w:t>
      </w:r>
      <w:r>
        <w:rPr>
          <w:spacing w:val="-3"/>
        </w:rPr>
        <w:t>攻关、装备研制到试验验证的完整布局。</w:t>
      </w:r>
    </w:p>
    <w:p w14:paraId="19DA64B2">
      <w:pPr>
        <w:pStyle w:val="2"/>
        <w:spacing w:before="16" w:line="379" w:lineRule="auto"/>
        <w:ind w:left="25" w:right="74" w:firstLine="554"/>
      </w:pPr>
      <w:r>
        <w:rPr>
          <w:rFonts w:ascii="Times New Roman" w:hAnsi="Times New Roman" w:eastAsia="Times New Roman" w:cs="Times New Roman"/>
          <w:spacing w:val="1"/>
        </w:rPr>
        <w:t>2</w:t>
      </w:r>
      <w:r>
        <w:rPr>
          <w:spacing w:val="1"/>
        </w:rPr>
        <w:t>）项目设置方面，各研究方向拟解决的关键问题尚未转化为边</w:t>
      </w:r>
      <w:r>
        <w:rPr>
          <w:spacing w:val="-4"/>
        </w:rPr>
        <w:t>界清晰、目标明确、任务具体、指标可考核的科研项目，难以为项目</w:t>
      </w:r>
      <w:r>
        <w:rPr>
          <w:spacing w:val="-1"/>
        </w:rPr>
        <w:t>遴选、组织实施和考核验收提供依据。</w:t>
      </w:r>
    </w:p>
    <w:p w14:paraId="5FA6D0B5">
      <w:pPr>
        <w:pStyle w:val="2"/>
        <w:spacing w:before="16" w:line="383" w:lineRule="auto"/>
        <w:ind w:left="25" w:right="77" w:firstLine="574"/>
        <w:jc w:val="both"/>
      </w:pPr>
      <w:r>
        <w:rPr>
          <w:rFonts w:hint="eastAsia"/>
          <w:spacing w:val="-5"/>
          <w:lang w:eastAsia="zh-CN"/>
        </w:rPr>
        <w:t>亟须</w:t>
      </w:r>
      <w:r>
        <w:rPr>
          <w:spacing w:val="-5"/>
        </w:rPr>
        <w:t>开展高层建筑火灾高效灭火方法与灭火装备指南研究，系统</w:t>
      </w:r>
      <w:r>
        <w:rPr>
          <w:spacing w:val="-4"/>
        </w:rPr>
        <w:t>设计科研项目及其研究内容和考核指标，为后续科研攻关的科学布局与组织实施提供依据。</w:t>
      </w:r>
    </w:p>
    <w:p w14:paraId="2DC5FCF3">
      <w:pPr>
        <w:spacing w:line="383" w:lineRule="auto"/>
        <w:sectPr>
          <w:pgSz w:w="11907" w:h="16839"/>
          <w:pgMar w:top="1431" w:right="1722" w:bottom="0" w:left="1785" w:header="0" w:footer="0" w:gutter="0"/>
          <w:cols w:space="720" w:num="1"/>
        </w:sectPr>
      </w:pPr>
    </w:p>
    <w:p w14:paraId="2FA6A051">
      <w:pPr>
        <w:spacing w:before="200" w:line="223" w:lineRule="auto"/>
        <w:ind w:left="52"/>
        <w:outlineLvl w:val="1"/>
        <w:rPr>
          <w:rFonts w:ascii="楷体" w:hAnsi="楷体" w:eastAsia="楷体" w:cs="楷体"/>
          <w:sz w:val="31"/>
          <w:szCs w:val="31"/>
        </w:rPr>
      </w:pPr>
      <w:r>
        <w:rPr>
          <w:rFonts w:ascii="楷体" w:hAnsi="楷体" w:eastAsia="楷体" w:cs="楷体"/>
          <w:spacing w:val="3"/>
          <w:sz w:val="31"/>
          <w:szCs w:val="31"/>
        </w:rPr>
        <w:t>（三）研究内容</w:t>
      </w:r>
    </w:p>
    <w:p w14:paraId="304821EC">
      <w:pPr>
        <w:pStyle w:val="2"/>
        <w:spacing w:before="238" w:line="382" w:lineRule="auto"/>
        <w:ind w:left="17" w:firstLine="561"/>
      </w:pPr>
      <w:r>
        <w:rPr>
          <w:spacing w:val="-6"/>
        </w:rPr>
        <w:t>针对高层建筑灭火研究布局不系统、攻关项目凝练不充分等问题，</w:t>
      </w:r>
      <w:r>
        <w:rPr>
          <w:spacing w:val="-2"/>
        </w:rPr>
        <w:t>研究高层建筑火灾高效灭火方法与灭火装备指南，具体包括：</w:t>
      </w:r>
    </w:p>
    <w:p w14:paraId="308D1890">
      <w:pPr>
        <w:pStyle w:val="2"/>
        <w:spacing w:before="1" w:line="229" w:lineRule="auto"/>
        <w:ind w:left="606"/>
      </w:pPr>
      <w:r>
        <w:rPr>
          <w:rFonts w:ascii="Times New Roman" w:hAnsi="Times New Roman" w:eastAsia="Times New Roman" w:cs="Times New Roman"/>
          <w:spacing w:val="-1"/>
        </w:rPr>
        <w:t>1</w:t>
      </w:r>
      <w:r>
        <w:rPr>
          <w:spacing w:val="-1"/>
        </w:rPr>
        <w:t>）高层建筑火灾高效灭火方法与灭火装备总</w:t>
      </w:r>
      <w:r>
        <w:rPr>
          <w:spacing w:val="-2"/>
        </w:rPr>
        <w:t>体方案研究；</w:t>
      </w:r>
    </w:p>
    <w:p w14:paraId="76F47A60">
      <w:pPr>
        <w:pStyle w:val="2"/>
        <w:spacing w:before="231" w:line="229" w:lineRule="auto"/>
        <w:ind w:left="579"/>
      </w:pPr>
      <w:r>
        <w:rPr>
          <w:rFonts w:ascii="Times New Roman" w:hAnsi="Times New Roman" w:eastAsia="Times New Roman" w:cs="Times New Roman"/>
          <w:spacing w:val="-1"/>
        </w:rPr>
        <w:t>2</w:t>
      </w:r>
      <w:r>
        <w:rPr>
          <w:spacing w:val="-1"/>
        </w:rPr>
        <w:t>）高层建筑火灾动力学研究指南；</w:t>
      </w:r>
    </w:p>
    <w:p w14:paraId="2505FA53">
      <w:pPr>
        <w:pStyle w:val="2"/>
        <w:spacing w:before="234" w:line="229" w:lineRule="auto"/>
        <w:ind w:left="585"/>
      </w:pPr>
      <w:r>
        <w:rPr>
          <w:rFonts w:ascii="Times New Roman" w:hAnsi="Times New Roman" w:eastAsia="Times New Roman" w:cs="Times New Roman"/>
          <w:spacing w:val="-2"/>
        </w:rPr>
        <w:t>3</w:t>
      </w:r>
      <w:r>
        <w:rPr>
          <w:spacing w:val="-2"/>
        </w:rPr>
        <w:t>）</w:t>
      </w:r>
      <w:r>
        <w:rPr>
          <w:rFonts w:ascii="Times New Roman" w:hAnsi="Times New Roman" w:eastAsia="Times New Roman" w:cs="Times New Roman"/>
          <w:spacing w:val="-2"/>
        </w:rPr>
        <w:t>30m</w:t>
      </w:r>
      <w:r>
        <w:rPr>
          <w:spacing w:val="-2"/>
        </w:rPr>
        <w:t>级冷喷试验平台建设研究指南；</w:t>
      </w:r>
    </w:p>
    <w:p w14:paraId="44B37033">
      <w:pPr>
        <w:pStyle w:val="2"/>
        <w:spacing w:before="233" w:line="229" w:lineRule="auto"/>
        <w:ind w:left="578"/>
      </w:pPr>
      <w:r>
        <w:rPr>
          <w:rFonts w:ascii="Times New Roman" w:hAnsi="Times New Roman" w:eastAsia="Times New Roman" w:cs="Times New Roman"/>
          <w:spacing w:val="-1"/>
        </w:rPr>
        <w:t>4</w:t>
      </w:r>
      <w:r>
        <w:rPr>
          <w:spacing w:val="-1"/>
        </w:rPr>
        <w:t>）</w:t>
      </w:r>
      <w:r>
        <w:rPr>
          <w:rFonts w:ascii="Times New Roman" w:hAnsi="Times New Roman" w:eastAsia="Times New Roman" w:cs="Times New Roman"/>
          <w:spacing w:val="-1"/>
        </w:rPr>
        <w:t>200m</w:t>
      </w:r>
      <w:r>
        <w:rPr>
          <w:spacing w:val="-1"/>
        </w:rPr>
        <w:t>级灭火装备精准性测试平台建设研究指南；</w:t>
      </w:r>
    </w:p>
    <w:p w14:paraId="463571DF">
      <w:pPr>
        <w:pStyle w:val="2"/>
        <w:spacing w:before="231" w:line="229" w:lineRule="auto"/>
        <w:ind w:left="587"/>
      </w:pPr>
      <w:r>
        <w:rPr>
          <w:rFonts w:ascii="Times New Roman" w:hAnsi="Times New Roman" w:eastAsia="Times New Roman" w:cs="Times New Roman"/>
          <w:spacing w:val="-1"/>
        </w:rPr>
        <w:t>5</w:t>
      </w:r>
      <w:r>
        <w:rPr>
          <w:spacing w:val="-1"/>
        </w:rPr>
        <w:t>）高层建筑灭火剂适配分析与评价研究指南；</w:t>
      </w:r>
    </w:p>
    <w:p w14:paraId="49E66FB7">
      <w:pPr>
        <w:pStyle w:val="2"/>
        <w:spacing w:before="233" w:line="228" w:lineRule="auto"/>
        <w:ind w:left="585"/>
      </w:pPr>
      <w:r>
        <w:rPr>
          <w:rFonts w:ascii="Times New Roman" w:hAnsi="Times New Roman" w:eastAsia="Times New Roman" w:cs="Times New Roman"/>
          <w:spacing w:val="-1"/>
        </w:rPr>
        <w:t>6</w:t>
      </w:r>
      <w:r>
        <w:rPr>
          <w:spacing w:val="-1"/>
        </w:rPr>
        <w:t>）无支腿无臂架高扬程大流量灭火救援高炮车研究指南；</w:t>
      </w:r>
    </w:p>
    <w:p w14:paraId="28737B4F">
      <w:pPr>
        <w:pStyle w:val="2"/>
        <w:spacing w:before="235" w:line="229" w:lineRule="auto"/>
        <w:ind w:left="584"/>
      </w:pPr>
      <w:r>
        <w:rPr>
          <w:rFonts w:ascii="Times New Roman" w:hAnsi="Times New Roman" w:eastAsia="Times New Roman" w:cs="Times New Roman"/>
          <w:spacing w:val="-1"/>
        </w:rPr>
        <w:t>7</w:t>
      </w:r>
      <w:r>
        <w:rPr>
          <w:spacing w:val="-1"/>
        </w:rPr>
        <w:t>）普通水罐消防车和举高喷射消防车提质研究指南；</w:t>
      </w:r>
    </w:p>
    <w:p w14:paraId="0E2C3C9D">
      <w:pPr>
        <w:pStyle w:val="2"/>
        <w:spacing w:before="231" w:line="229" w:lineRule="auto"/>
        <w:ind w:left="590"/>
      </w:pPr>
      <w:r>
        <w:rPr>
          <w:rFonts w:ascii="Times New Roman" w:hAnsi="Times New Roman" w:eastAsia="Times New Roman" w:cs="Times New Roman"/>
          <w:spacing w:val="-1"/>
        </w:rPr>
        <w:t>8</w:t>
      </w:r>
      <w:r>
        <w:rPr>
          <w:spacing w:val="-1"/>
        </w:rPr>
        <w:t>）高层建筑火灾内攻消防车研究指南；</w:t>
      </w:r>
    </w:p>
    <w:p w14:paraId="7BB2229E">
      <w:pPr>
        <w:pStyle w:val="2"/>
        <w:spacing w:before="234" w:line="229" w:lineRule="auto"/>
        <w:ind w:left="584"/>
      </w:pPr>
      <w:r>
        <w:rPr>
          <w:rFonts w:ascii="Times New Roman" w:hAnsi="Times New Roman" w:eastAsia="Times New Roman" w:cs="Times New Roman"/>
          <w:spacing w:val="-1"/>
        </w:rPr>
        <w:t>9</w:t>
      </w:r>
      <w:r>
        <w:rPr>
          <w:spacing w:val="-1"/>
        </w:rPr>
        <w:t>）系留无人机灭火成套装备研究指南；</w:t>
      </w:r>
    </w:p>
    <w:p w14:paraId="5F75A316">
      <w:pPr>
        <w:pStyle w:val="2"/>
        <w:spacing w:before="233" w:line="229" w:lineRule="auto"/>
        <w:ind w:left="606"/>
      </w:pPr>
      <w:r>
        <w:rPr>
          <w:rFonts w:ascii="Times New Roman" w:hAnsi="Times New Roman" w:eastAsia="Times New Roman" w:cs="Times New Roman"/>
          <w:spacing w:val="-2"/>
        </w:rPr>
        <w:t>10</w:t>
      </w:r>
      <w:r>
        <w:rPr>
          <w:spacing w:val="-2"/>
        </w:rPr>
        <w:t>）水罐无人机灭火成套装备研究指南；</w:t>
      </w:r>
    </w:p>
    <w:p w14:paraId="650603A0">
      <w:pPr>
        <w:pStyle w:val="2"/>
        <w:spacing w:before="231" w:line="229" w:lineRule="auto"/>
        <w:ind w:left="606"/>
      </w:pPr>
      <w:r>
        <w:rPr>
          <w:rFonts w:ascii="Times New Roman" w:hAnsi="Times New Roman" w:eastAsia="Times New Roman" w:cs="Times New Roman"/>
          <w:spacing w:val="-4"/>
        </w:rPr>
        <w:t>11</w:t>
      </w:r>
      <w:r>
        <w:rPr>
          <w:spacing w:val="-4"/>
        </w:rPr>
        <w:t>）高层建筑火灾直升机精准灭火技术研究指南；</w:t>
      </w:r>
    </w:p>
    <w:p w14:paraId="18DA585A">
      <w:pPr>
        <w:pStyle w:val="2"/>
        <w:spacing w:before="234" w:line="229" w:lineRule="auto"/>
        <w:ind w:left="606"/>
      </w:pPr>
      <w:r>
        <w:rPr>
          <w:rFonts w:ascii="Times New Roman" w:hAnsi="Times New Roman" w:eastAsia="Times New Roman" w:cs="Times New Roman"/>
          <w:spacing w:val="-2"/>
        </w:rPr>
        <w:t>12</w:t>
      </w:r>
      <w:r>
        <w:rPr>
          <w:spacing w:val="-2"/>
        </w:rPr>
        <w:t>）固定式消防装备及固移结合方法研究指南；</w:t>
      </w:r>
    </w:p>
    <w:p w14:paraId="615B5B92">
      <w:pPr>
        <w:pStyle w:val="2"/>
        <w:spacing w:before="233" w:line="230" w:lineRule="auto"/>
        <w:ind w:left="606"/>
      </w:pPr>
      <w:r>
        <w:rPr>
          <w:rFonts w:ascii="Times New Roman" w:hAnsi="Times New Roman" w:eastAsia="Times New Roman" w:cs="Times New Roman"/>
        </w:rPr>
        <w:t>13</w:t>
      </w:r>
      <w:r>
        <w:t>）试验平台、方法与灭火剂相关技术要求（标准）研究指南；</w:t>
      </w:r>
    </w:p>
    <w:p w14:paraId="179A5CC2">
      <w:pPr>
        <w:pStyle w:val="2"/>
        <w:spacing w:before="230" w:line="213" w:lineRule="auto"/>
        <w:ind w:left="606"/>
      </w:pPr>
      <w:r>
        <w:rPr>
          <w:rFonts w:ascii="Times New Roman" w:hAnsi="Times New Roman" w:eastAsia="Times New Roman" w:cs="Times New Roman"/>
          <w:spacing w:val="-2"/>
        </w:rPr>
        <w:t>14</w:t>
      </w:r>
      <w:r>
        <w:rPr>
          <w:spacing w:val="-2"/>
        </w:rPr>
        <w:t>）灭火装备相关技术要求</w:t>
      </w:r>
      <w:r>
        <w:rPr>
          <w:rFonts w:hint="eastAsia"/>
          <w:spacing w:val="-2"/>
          <w:lang w:eastAsia="zh-CN"/>
        </w:rPr>
        <w:t>（</w:t>
      </w:r>
      <w:r>
        <w:rPr>
          <w:spacing w:val="-2"/>
        </w:rPr>
        <w:t>标准</w:t>
      </w:r>
      <w:r>
        <w:rPr>
          <w:rFonts w:hint="eastAsia"/>
          <w:spacing w:val="-2"/>
          <w:lang w:eastAsia="zh-CN"/>
        </w:rPr>
        <w:t>）</w:t>
      </w:r>
      <w:r>
        <w:rPr>
          <w:spacing w:val="-2"/>
        </w:rPr>
        <w:t>研究指南；</w:t>
      </w:r>
    </w:p>
    <w:p w14:paraId="48511D27">
      <w:pPr>
        <w:spacing w:before="225" w:line="225" w:lineRule="auto"/>
        <w:ind w:left="693"/>
        <w:outlineLvl w:val="1"/>
        <w:rPr>
          <w:rFonts w:ascii="楷体" w:hAnsi="楷体" w:eastAsia="楷体" w:cs="楷体"/>
          <w:sz w:val="31"/>
          <w:szCs w:val="31"/>
        </w:rPr>
      </w:pPr>
      <w:r>
        <w:rPr>
          <w:rFonts w:ascii="楷体" w:hAnsi="楷体" w:eastAsia="楷体" w:cs="楷体"/>
          <w:spacing w:val="4"/>
          <w:sz w:val="31"/>
          <w:szCs w:val="31"/>
        </w:rPr>
        <w:t>（四）考核指标</w:t>
      </w:r>
    </w:p>
    <w:p w14:paraId="49764258">
      <w:pPr>
        <w:pStyle w:val="2"/>
        <w:spacing w:before="237" w:line="380" w:lineRule="auto"/>
        <w:ind w:left="34" w:right="213" w:firstLine="572"/>
      </w:pPr>
      <w:r>
        <w:rPr>
          <w:rFonts w:ascii="Times New Roman" w:hAnsi="Times New Roman" w:eastAsia="Times New Roman" w:cs="Times New Roman"/>
        </w:rPr>
        <w:t>1</w:t>
      </w:r>
      <w:r>
        <w:t>）形成高层建筑火灾高效灭火方法与灭火装备总体研究方案报</w:t>
      </w:r>
      <w:r>
        <w:rPr>
          <w:spacing w:val="-23"/>
        </w:rPr>
        <w:t>告</w:t>
      </w:r>
      <w:r>
        <w:rPr>
          <w:rFonts w:ascii="Times New Roman" w:hAnsi="Times New Roman" w:eastAsia="Times New Roman" w:cs="Times New Roman"/>
          <w:spacing w:val="-23"/>
        </w:rPr>
        <w:t>1</w:t>
      </w:r>
      <w:r>
        <w:rPr>
          <w:spacing w:val="-23"/>
        </w:rPr>
        <w:t>份；</w:t>
      </w:r>
    </w:p>
    <w:p w14:paraId="26945FA1">
      <w:pPr>
        <w:pStyle w:val="2"/>
        <w:spacing w:before="6" w:line="213" w:lineRule="auto"/>
        <w:ind w:left="579"/>
      </w:pPr>
      <w:r>
        <w:rPr>
          <w:rFonts w:hint="eastAsia" w:ascii="Times New Roman" w:hAnsi="Times New Roman" w:eastAsia="宋体" w:cs="Times New Roman"/>
          <w:spacing w:val="-4"/>
          <w:lang w:eastAsia="zh-CN"/>
        </w:rPr>
        <w:t>2）</w:t>
      </w:r>
      <w:r>
        <w:rPr>
          <w:spacing w:val="-4"/>
        </w:rPr>
        <w:t>形成</w:t>
      </w:r>
      <w:r>
        <w:rPr>
          <w:rFonts w:ascii="Times New Roman" w:hAnsi="Times New Roman" w:eastAsia="Times New Roman" w:cs="Times New Roman"/>
          <w:spacing w:val="-4"/>
        </w:rPr>
        <w:t>13</w:t>
      </w:r>
      <w:r>
        <w:rPr>
          <w:spacing w:val="-4"/>
        </w:rPr>
        <w:t>个分项目研究指南建议稿各</w:t>
      </w:r>
      <w:r>
        <w:rPr>
          <w:rFonts w:ascii="Times New Roman" w:hAnsi="Times New Roman" w:eastAsia="Times New Roman" w:cs="Times New Roman"/>
          <w:spacing w:val="-4"/>
        </w:rPr>
        <w:t>1</w:t>
      </w:r>
      <w:r>
        <w:rPr>
          <w:spacing w:val="-5"/>
        </w:rPr>
        <w:t>份；</w:t>
      </w:r>
    </w:p>
    <w:p w14:paraId="5F1A33F2">
      <w:pPr>
        <w:spacing w:before="225"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4592661B">
      <w:pPr>
        <w:pStyle w:val="2"/>
        <w:spacing w:before="231" w:line="371" w:lineRule="auto"/>
        <w:ind w:left="49" w:right="215" w:firstLine="556"/>
      </w:pPr>
      <w:r>
        <w:rPr>
          <w:rFonts w:ascii="Times New Roman" w:hAnsi="Times New Roman" w:eastAsia="Times New Roman" w:cs="Times New Roman"/>
        </w:rPr>
        <w:t>1</w:t>
      </w:r>
      <w:r>
        <w:t>）总体研究方案应围绕高层建筑火灾高效灭火需求，系统分析</w:t>
      </w:r>
      <w:r>
        <w:rPr>
          <w:spacing w:val="-4"/>
        </w:rPr>
        <w:t>国内外研究现状和关键技术短板，明确试验</w:t>
      </w:r>
      <w:r>
        <w:rPr>
          <w:spacing w:val="-5"/>
        </w:rPr>
        <w:t>平台、火灾动力学、灭火</w:t>
      </w:r>
    </w:p>
    <w:p w14:paraId="5D0540E3">
      <w:pPr>
        <w:spacing w:line="371" w:lineRule="auto"/>
        <w:sectPr>
          <w:pgSz w:w="11907" w:h="16839"/>
          <w:pgMar w:top="1431" w:right="1584" w:bottom="0" w:left="1785" w:header="0" w:footer="0" w:gutter="0"/>
          <w:cols w:space="720" w:num="1"/>
        </w:sectPr>
      </w:pPr>
    </w:p>
    <w:p w14:paraId="250E34F2">
      <w:pPr>
        <w:pStyle w:val="2"/>
        <w:spacing w:before="233" w:line="381" w:lineRule="auto"/>
        <w:ind w:left="28" w:right="63" w:hanging="3"/>
      </w:pPr>
      <w:r>
        <w:rPr>
          <w:spacing w:val="-14"/>
        </w:rPr>
        <w:t>剂、灭火装备和技术要求（标准）等研究方向的总体目标、任务布</w:t>
      </w:r>
      <w:r>
        <w:rPr>
          <w:spacing w:val="-15"/>
        </w:rPr>
        <w:t>局、</w:t>
      </w:r>
      <w:r>
        <w:rPr>
          <w:spacing w:val="-1"/>
        </w:rPr>
        <w:t>项目设置、衔接关系、实施安排、经费配置及成果体系。</w:t>
      </w:r>
    </w:p>
    <w:p w14:paraId="6D011ECE">
      <w:pPr>
        <w:pStyle w:val="2"/>
        <w:spacing w:before="5" w:line="377" w:lineRule="auto"/>
        <w:ind w:left="23" w:right="14" w:firstLine="556"/>
      </w:pPr>
      <w:r>
        <w:rPr>
          <w:rFonts w:ascii="Times New Roman" w:hAnsi="Times New Roman" w:eastAsia="Times New Roman" w:cs="Times New Roman"/>
          <w:spacing w:val="1"/>
        </w:rPr>
        <w:t>2</w:t>
      </w:r>
      <w:r>
        <w:rPr>
          <w:spacing w:val="1"/>
        </w:rPr>
        <w:t>）每份指南应包括所属研究方向及攻关任务、必要性、研究内</w:t>
      </w:r>
      <w:r>
        <w:rPr>
          <w:spacing w:val="-13"/>
        </w:rPr>
        <w:t>容、考核指标、指标说明、关键词、建议类别、经费需求、实施年限、</w:t>
      </w:r>
      <w:r>
        <w:rPr>
          <w:spacing w:val="-4"/>
        </w:rPr>
        <w:t>建议支持项目数、示范工程概况以及项目组织方式与依据，具备项目</w:t>
      </w:r>
      <w:r>
        <w:rPr>
          <w:spacing w:val="-3"/>
        </w:rPr>
        <w:t>发布和组织实施条件，并通过专家审查。</w:t>
      </w:r>
    </w:p>
    <w:p w14:paraId="5B358462">
      <w:pPr>
        <w:spacing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15BAE731">
      <w:pPr>
        <w:pStyle w:val="2"/>
        <w:spacing w:before="225" w:line="215" w:lineRule="auto"/>
        <w:ind w:left="596"/>
      </w:pPr>
      <w:r>
        <w:rPr>
          <w:spacing w:val="-2"/>
        </w:rPr>
        <w:t>高层建筑火灾；研究方案；项目指南。</w:t>
      </w:r>
    </w:p>
    <w:p w14:paraId="4348055F">
      <w:pPr>
        <w:spacing w:before="221" w:line="231"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0031081E">
      <w:pPr>
        <w:pStyle w:val="2"/>
        <w:spacing w:before="209" w:line="214" w:lineRule="auto"/>
        <w:ind w:left="577"/>
      </w:pPr>
      <w:r>
        <w:rPr>
          <w:spacing w:val="-1"/>
        </w:rPr>
        <w:t>研究指南编制类。</w:t>
      </w:r>
    </w:p>
    <w:p w14:paraId="78EE9D88">
      <w:pPr>
        <w:spacing w:before="217" w:line="223" w:lineRule="auto"/>
        <w:ind w:left="693"/>
        <w:outlineLvl w:val="1"/>
        <w:rPr>
          <w:rFonts w:ascii="楷体" w:hAnsi="楷体" w:eastAsia="楷体" w:cs="楷体"/>
          <w:sz w:val="31"/>
          <w:szCs w:val="31"/>
        </w:rPr>
      </w:pPr>
      <w:r>
        <w:rPr>
          <w:rFonts w:ascii="楷体" w:hAnsi="楷体" w:eastAsia="楷体" w:cs="楷体"/>
          <w:spacing w:val="4"/>
          <w:sz w:val="31"/>
          <w:szCs w:val="31"/>
        </w:rPr>
        <w:t>（八）实施年限</w:t>
      </w:r>
    </w:p>
    <w:p w14:paraId="509FF841">
      <w:pPr>
        <w:pStyle w:val="2"/>
        <w:spacing w:before="240"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0259ED36">
      <w:pPr>
        <w:spacing w:before="195" w:line="225" w:lineRule="auto"/>
        <w:ind w:left="693"/>
        <w:outlineLvl w:val="1"/>
        <w:rPr>
          <w:rFonts w:ascii="楷体" w:hAnsi="楷体" w:eastAsia="楷体" w:cs="楷体"/>
          <w:sz w:val="31"/>
          <w:szCs w:val="31"/>
        </w:rPr>
      </w:pPr>
      <w:r>
        <w:rPr>
          <w:rFonts w:ascii="楷体" w:hAnsi="楷体" w:eastAsia="楷体" w:cs="楷体"/>
          <w:spacing w:val="5"/>
          <w:sz w:val="31"/>
          <w:szCs w:val="31"/>
        </w:rPr>
        <w:t>（九）建议支持项目数</w:t>
      </w:r>
    </w:p>
    <w:p w14:paraId="004819AE">
      <w:pPr>
        <w:pStyle w:val="2"/>
        <w:spacing w:before="237" w:line="232" w:lineRule="auto"/>
        <w:ind w:left="606"/>
      </w:pPr>
      <w:r>
        <w:rPr>
          <w:rFonts w:ascii="Times New Roman" w:hAnsi="Times New Roman" w:eastAsia="Times New Roman" w:cs="Times New Roman"/>
          <w:spacing w:val="-23"/>
        </w:rPr>
        <w:t>1</w:t>
      </w:r>
      <w:r>
        <w:rPr>
          <w:spacing w:val="-23"/>
        </w:rPr>
        <w:t>项。</w:t>
      </w:r>
    </w:p>
    <w:p w14:paraId="2FAC8705">
      <w:pPr>
        <w:spacing w:before="195"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77CF63F1">
      <w:pPr>
        <w:pStyle w:val="2"/>
        <w:spacing w:before="214" w:line="364" w:lineRule="auto"/>
        <w:ind w:left="20" w:right="19" w:firstLine="563"/>
      </w:pPr>
      <w:r>
        <w:rPr>
          <w:spacing w:val="6"/>
        </w:rPr>
        <w:t>本指南应用到随州高层建筑高效灭火方法及灭火装备研究的其</w:t>
      </w:r>
      <w:r>
        <w:rPr>
          <w:spacing w:val="-4"/>
        </w:rPr>
        <w:t>他指南工程及装备研究。</w:t>
      </w:r>
    </w:p>
    <w:p w14:paraId="0DE8BB29">
      <w:pPr>
        <w:spacing w:before="2" w:line="224"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（十一）项目组织方式与依据</w:t>
      </w:r>
    </w:p>
    <w:p w14:paraId="616225C0">
      <w:pPr>
        <w:pStyle w:val="2"/>
        <w:spacing w:before="218" w:line="369" w:lineRule="auto"/>
        <w:ind w:left="45" w:right="13" w:firstLine="539"/>
      </w:pPr>
      <w:r>
        <w:rPr>
          <w:spacing w:val="-4"/>
        </w:rPr>
        <w:t>本项目拟采取定向委托方式组织实施，依据为《随州职业技术学</w:t>
      </w:r>
      <w:r>
        <w:rPr>
          <w:spacing w:val="-16"/>
        </w:rPr>
        <w:t>院</w:t>
      </w:r>
      <w:r>
        <w:rPr>
          <w:spacing w:val="37"/>
        </w:rPr>
        <w:t xml:space="preserve"> </w:t>
      </w:r>
      <w:r>
        <w:rPr>
          <w:spacing w:val="-16"/>
        </w:rPr>
        <w:t>院士工作站合作协议书》。</w:t>
      </w:r>
    </w:p>
    <w:p w14:paraId="3E81B4AB">
      <w:pPr>
        <w:spacing w:line="301" w:lineRule="auto"/>
        <w:rPr>
          <w:rFonts w:ascii="Arial"/>
          <w:sz w:val="21"/>
        </w:rPr>
      </w:pPr>
    </w:p>
    <w:p w14:paraId="4438FA84">
      <w:pPr>
        <w:spacing w:before="140" w:line="236" w:lineRule="auto"/>
        <w:ind w:left="883"/>
        <w:outlineLvl w:val="0"/>
        <w:rPr>
          <w:rFonts w:ascii="黑体" w:hAnsi="黑体" w:eastAsia="黑体" w:cs="黑体"/>
          <w:sz w:val="43"/>
          <w:szCs w:val="43"/>
        </w:rPr>
      </w:pPr>
      <w:r>
        <w:rPr>
          <w:rFonts w:ascii="黑体" w:hAnsi="黑体" w:eastAsia="黑体" w:cs="黑体"/>
          <w:spacing w:val="7"/>
          <w:sz w:val="43"/>
          <w:szCs w:val="43"/>
        </w:rPr>
        <w:t>二、</w:t>
      </w:r>
      <w:r>
        <w:rPr>
          <w:rFonts w:ascii="Times New Roman" w:hAnsi="Times New Roman" w:eastAsia="Times New Roman" w:cs="Times New Roman"/>
          <w:spacing w:val="7"/>
          <w:sz w:val="43"/>
          <w:szCs w:val="43"/>
        </w:rPr>
        <w:t>30m</w:t>
      </w:r>
      <w:r>
        <w:rPr>
          <w:rFonts w:ascii="黑体" w:hAnsi="黑体" w:eastAsia="黑体" w:cs="黑体"/>
          <w:spacing w:val="7"/>
          <w:sz w:val="43"/>
          <w:szCs w:val="43"/>
        </w:rPr>
        <w:t>级冷喷试验平台建设研究</w:t>
      </w:r>
    </w:p>
    <w:p w14:paraId="3EDFD94A">
      <w:pPr>
        <w:spacing w:before="288" w:line="223" w:lineRule="auto"/>
        <w:ind w:left="693"/>
        <w:outlineLvl w:val="1"/>
        <w:rPr>
          <w:rFonts w:ascii="楷体" w:hAnsi="楷体" w:eastAsia="楷体" w:cs="楷体"/>
          <w:sz w:val="31"/>
          <w:szCs w:val="31"/>
        </w:rPr>
      </w:pPr>
      <w:r>
        <w:rPr>
          <w:rFonts w:ascii="楷体" w:hAnsi="楷体" w:eastAsia="楷体" w:cs="楷体"/>
          <w:spacing w:val="6"/>
          <w:sz w:val="31"/>
          <w:szCs w:val="31"/>
        </w:rPr>
        <w:t>（一）所属研究方向及攻关任务</w:t>
      </w:r>
    </w:p>
    <w:p w14:paraId="10B87D80">
      <w:pPr>
        <w:pStyle w:val="2"/>
        <w:spacing w:before="240" w:line="214" w:lineRule="auto"/>
        <w:ind w:right="19"/>
        <w:jc w:val="right"/>
      </w:pPr>
      <w:r>
        <w:rPr>
          <w:spacing w:val="6"/>
        </w:rPr>
        <w:t>对应随州应急产业院士工作站高层建筑火灾高效灭火方法与灭</w:t>
      </w:r>
    </w:p>
    <w:p w14:paraId="2177F771">
      <w:pPr>
        <w:spacing w:line="214" w:lineRule="auto"/>
        <w:sectPr>
          <w:pgSz w:w="11907" w:h="16839"/>
          <w:pgMar w:top="1431" w:right="1785" w:bottom="0" w:left="1785" w:header="0" w:footer="0" w:gutter="0"/>
          <w:cols w:space="720" w:num="1"/>
        </w:sectPr>
      </w:pPr>
    </w:p>
    <w:p w14:paraId="4139D9EF">
      <w:pPr>
        <w:pStyle w:val="2"/>
        <w:spacing w:before="233" w:line="215" w:lineRule="auto"/>
        <w:ind w:left="32"/>
      </w:pPr>
      <w:r>
        <w:rPr>
          <w:spacing w:val="-3"/>
        </w:rPr>
        <w:t>火装备研究中建设高层建筑灭火试验测试平台任务。</w:t>
      </w:r>
    </w:p>
    <w:p w14:paraId="0DD28085">
      <w:pPr>
        <w:spacing w:before="218" w:line="226" w:lineRule="auto"/>
        <w:ind w:left="693"/>
        <w:outlineLvl w:val="1"/>
        <w:rPr>
          <w:rFonts w:ascii="楷体" w:hAnsi="楷体" w:eastAsia="楷体" w:cs="楷体"/>
          <w:sz w:val="31"/>
          <w:szCs w:val="31"/>
        </w:rPr>
      </w:pPr>
      <w:r>
        <w:rPr>
          <w:rFonts w:ascii="楷体" w:hAnsi="楷体" w:eastAsia="楷体" w:cs="楷体"/>
          <w:spacing w:val="-1"/>
          <w:sz w:val="31"/>
          <w:szCs w:val="31"/>
        </w:rPr>
        <w:t>（二）必要性</w:t>
      </w:r>
    </w:p>
    <w:p w14:paraId="21175516">
      <w:pPr>
        <w:pStyle w:val="2"/>
        <w:spacing w:before="236" w:line="382" w:lineRule="auto"/>
        <w:ind w:left="23" w:firstLine="568"/>
        <w:jc w:val="both"/>
      </w:pPr>
      <w:r>
        <w:rPr>
          <w:spacing w:val="-2"/>
        </w:rPr>
        <w:t>近</w:t>
      </w:r>
      <w:r>
        <w:rPr>
          <w:rFonts w:hint="eastAsia"/>
          <w:spacing w:val="-2"/>
          <w:lang w:eastAsia="zh-CN"/>
        </w:rPr>
        <w:t>年来</w:t>
      </w:r>
      <w:r>
        <w:rPr>
          <w:spacing w:val="-2"/>
        </w:rPr>
        <w:t>，高层建筑灭火装备加快向高扬程、远距离和大流量发展，</w:t>
      </w:r>
      <w:r>
        <w:rPr>
          <w:spacing w:val="-4"/>
        </w:rPr>
        <w:t>对消防泵、灭火剂、消防炮、消防水枪及成套装备的选型测试提出了更高要求。现有产品标准虽已规定压力、流量、射程和灭火性能等测试方法，但主要面向单类产品，试验条件和数据口径不一，难以获得组合选型所需的统一、可比数据。冷喷试验平台可在无明火条件下开</w:t>
      </w:r>
      <w:r>
        <w:t>展多类产品组合测试，为产品研发和选型提供支撑。</w:t>
      </w:r>
      <w:r>
        <w:rPr>
          <w:rFonts w:ascii="Times New Roman" w:hAnsi="Times New Roman" w:eastAsia="Times New Roman" w:cs="Times New Roman"/>
        </w:rPr>
        <w:t>30</w:t>
      </w:r>
      <w:r>
        <w:rPr>
          <w:rFonts w:ascii="Times New Roman" w:hAnsi="Times New Roman" w:eastAsia="Times New Roman" w:cs="Times New Roman"/>
          <w:spacing w:val="36"/>
        </w:rPr>
        <w:t xml:space="preserve"> </w:t>
      </w:r>
      <w:r>
        <w:rPr>
          <w:rFonts w:ascii="Times New Roman" w:hAnsi="Times New Roman" w:eastAsia="Times New Roman" w:cs="Times New Roman"/>
        </w:rPr>
        <w:t>m</w:t>
      </w:r>
      <w:r>
        <w:t>接近高层</w:t>
      </w:r>
      <w:r>
        <w:rPr>
          <w:spacing w:val="-4"/>
        </w:rPr>
        <w:t>建筑起始高度，能够开展地面消防装备向高处目标喷射及立面覆盖测</w:t>
      </w:r>
      <w:r>
        <w:rPr>
          <w:spacing w:val="-3"/>
        </w:rPr>
        <w:t>试，且经济性好、规模适中、运行可控、试验频</w:t>
      </w:r>
      <w:r>
        <w:rPr>
          <w:spacing w:val="-4"/>
        </w:rPr>
        <w:t>次高，但仍面临如下</w:t>
      </w:r>
      <w:r>
        <w:rPr>
          <w:spacing w:val="-19"/>
        </w:rPr>
        <w:t>问题：</w:t>
      </w:r>
    </w:p>
    <w:p w14:paraId="543450A1">
      <w:pPr>
        <w:pStyle w:val="2"/>
        <w:spacing w:before="5" w:line="371" w:lineRule="auto"/>
        <w:ind w:left="37" w:right="90" w:firstLine="568"/>
      </w:pPr>
      <w:r>
        <w:rPr>
          <w:rFonts w:ascii="Times New Roman" w:hAnsi="Times New Roman" w:eastAsia="Times New Roman" w:cs="Times New Roman"/>
        </w:rPr>
        <w:t>1</w:t>
      </w:r>
      <w:r>
        <w:t>）消防泵选型方面，现有方法主要测试消防泵自身性</w:t>
      </w:r>
      <w:r>
        <w:rPr>
          <w:spacing w:val="-1"/>
        </w:rPr>
        <w:t>能，缺乏</w:t>
      </w:r>
      <w:r>
        <w:rPr>
          <w:spacing w:val="-3"/>
        </w:rPr>
        <w:t>面向不同供液和喷射需求的工况设置及参数同步测试方法；</w:t>
      </w:r>
    </w:p>
    <w:p w14:paraId="6C6C89A2">
      <w:pPr>
        <w:pStyle w:val="2"/>
        <w:spacing w:before="34" w:line="371" w:lineRule="auto"/>
        <w:ind w:left="37" w:right="92" w:firstLine="541"/>
      </w:pPr>
      <w:r>
        <w:rPr>
          <w:rFonts w:ascii="Times New Roman" w:hAnsi="Times New Roman" w:eastAsia="Times New Roman" w:cs="Times New Roman"/>
          <w:spacing w:val="1"/>
        </w:rPr>
        <w:t>2</w:t>
      </w:r>
      <w:r>
        <w:rPr>
          <w:spacing w:val="1"/>
        </w:rPr>
        <w:t>）灭火剂及炮枪选型方面，两者分别测试，缺</w:t>
      </w:r>
      <w:r>
        <w:t>乏相同供液条件</w:t>
      </w:r>
      <w:r>
        <w:rPr>
          <w:spacing w:val="-3"/>
        </w:rPr>
        <w:t>下不同灭火剂与消防炮、水枪组合的输送和喷射性能测试方法；</w:t>
      </w:r>
    </w:p>
    <w:p w14:paraId="62E2EDCF">
      <w:pPr>
        <w:pStyle w:val="2"/>
        <w:spacing w:before="35" w:line="370" w:lineRule="auto"/>
        <w:ind w:left="29" w:right="139" w:firstLine="555"/>
      </w:pPr>
      <w:r>
        <w:rPr>
          <w:rFonts w:ascii="Times New Roman" w:hAnsi="Times New Roman" w:eastAsia="Times New Roman" w:cs="Times New Roman"/>
          <w:spacing w:val="-1"/>
        </w:rPr>
        <w:t>3</w:t>
      </w:r>
      <w:r>
        <w:rPr>
          <w:spacing w:val="-1"/>
        </w:rPr>
        <w:t>）成套装备测试方面，各类装备的试验条件和观测方式</w:t>
      </w:r>
      <w:r>
        <w:rPr>
          <w:spacing w:val="-2"/>
        </w:rPr>
        <w:t>不同，缺乏供液、喷射、有效到达及外立面覆盖全过程测试方法。</w:t>
      </w:r>
    </w:p>
    <w:p w14:paraId="250EEC44">
      <w:pPr>
        <w:pStyle w:val="2"/>
        <w:spacing w:before="39" w:line="375" w:lineRule="auto"/>
        <w:ind w:left="28" w:right="74" w:firstLine="571"/>
      </w:pPr>
      <w:r>
        <w:rPr>
          <w:rFonts w:hint="eastAsia"/>
          <w:spacing w:val="-5"/>
          <w:lang w:eastAsia="zh-CN"/>
        </w:rPr>
        <w:t>亟须</w:t>
      </w:r>
      <w:r>
        <w:rPr>
          <w:spacing w:val="-5"/>
        </w:rPr>
        <w:t>研究消防泵选型、灭火剂与炮枪组合选型及成套装备冷喷性</w:t>
      </w:r>
      <w:r>
        <w:rPr>
          <w:spacing w:val="-9"/>
        </w:rPr>
        <w:t>能测试方法，研制</w:t>
      </w:r>
      <w:r>
        <w:rPr>
          <w:rFonts w:ascii="Times New Roman" w:hAnsi="Times New Roman" w:eastAsia="Times New Roman" w:cs="Times New Roman"/>
          <w:spacing w:val="-9"/>
        </w:rPr>
        <w:t>30</w:t>
      </w:r>
      <w:r>
        <w:rPr>
          <w:rFonts w:ascii="Times New Roman" w:hAnsi="Times New Roman" w:eastAsia="Times New Roman" w:cs="Times New Roman"/>
          <w:spacing w:val="-14"/>
        </w:rPr>
        <w:t xml:space="preserve"> </w:t>
      </w:r>
      <w:r>
        <w:rPr>
          <w:rFonts w:ascii="Times New Roman" w:hAnsi="Times New Roman" w:eastAsia="Times New Roman" w:cs="Times New Roman"/>
          <w:spacing w:val="-9"/>
        </w:rPr>
        <w:t>m</w:t>
      </w:r>
      <w:r>
        <w:rPr>
          <w:spacing w:val="-9"/>
        </w:rPr>
        <w:t>级冷喷试验平台，为高层建筑灭火产品研发、</w:t>
      </w:r>
      <w:r>
        <w:rPr>
          <w:spacing w:val="-5"/>
        </w:rPr>
        <w:t>选型和定型提供支撑。</w:t>
      </w:r>
    </w:p>
    <w:p w14:paraId="40A137D3">
      <w:pPr>
        <w:spacing w:before="1" w:line="222" w:lineRule="auto"/>
        <w:ind w:left="693"/>
        <w:outlineLvl w:val="1"/>
        <w:rPr>
          <w:rFonts w:ascii="楷体" w:hAnsi="楷体" w:eastAsia="楷体" w:cs="楷体"/>
          <w:sz w:val="31"/>
          <w:szCs w:val="31"/>
        </w:rPr>
      </w:pPr>
      <w:r>
        <w:rPr>
          <w:rFonts w:ascii="楷体" w:hAnsi="楷体" w:eastAsia="楷体" w:cs="楷体"/>
          <w:spacing w:val="3"/>
          <w:sz w:val="31"/>
          <w:szCs w:val="31"/>
        </w:rPr>
        <w:t>（三）研究内容</w:t>
      </w:r>
    </w:p>
    <w:p w14:paraId="204562E4">
      <w:pPr>
        <w:pStyle w:val="2"/>
        <w:spacing w:before="241" w:line="378" w:lineRule="auto"/>
        <w:ind w:left="19" w:right="73" w:firstLine="560"/>
        <w:jc w:val="both"/>
      </w:pPr>
      <w:r>
        <w:rPr>
          <w:spacing w:val="-4"/>
        </w:rPr>
        <w:t>针对消防泵选型测试方法、灭火剂及炮枪选型测试方法和成套装</w:t>
      </w:r>
      <w:r>
        <w:rPr>
          <w:spacing w:val="-2"/>
        </w:rPr>
        <w:t>备测试方法存在的问题，研究</w:t>
      </w:r>
      <w:r>
        <w:rPr>
          <w:rFonts w:ascii="Times New Roman" w:hAnsi="Times New Roman" w:eastAsia="Times New Roman" w:cs="Times New Roman"/>
          <w:spacing w:val="-2"/>
        </w:rPr>
        <w:t>30</w:t>
      </w:r>
      <w:r>
        <w:rPr>
          <w:rFonts w:ascii="Times New Roman" w:hAnsi="Times New Roman" w:eastAsia="Times New Roman" w:cs="Times New Roman"/>
          <w:spacing w:val="36"/>
        </w:rPr>
        <w:t xml:space="preserve"> </w:t>
      </w:r>
      <w:r>
        <w:rPr>
          <w:rFonts w:ascii="Times New Roman" w:hAnsi="Times New Roman" w:eastAsia="Times New Roman" w:cs="Times New Roman"/>
          <w:spacing w:val="-2"/>
        </w:rPr>
        <w:t>m</w:t>
      </w:r>
      <w:r>
        <w:rPr>
          <w:spacing w:val="-2"/>
        </w:rPr>
        <w:t>级冷喷测试方法及试验平台。具</w:t>
      </w:r>
      <w:r>
        <w:rPr>
          <w:spacing w:val="-15"/>
        </w:rPr>
        <w:t>体包括：</w:t>
      </w:r>
    </w:p>
    <w:p w14:paraId="7F5F4AC9">
      <w:pPr>
        <w:spacing w:line="378" w:lineRule="auto"/>
        <w:sectPr>
          <w:pgSz w:w="11907" w:h="16839"/>
          <w:pgMar w:top="1431" w:right="1726" w:bottom="0" w:left="1785" w:header="0" w:footer="0" w:gutter="0"/>
          <w:cols w:space="720" w:num="1"/>
        </w:sectPr>
      </w:pPr>
    </w:p>
    <w:p w14:paraId="336693E0">
      <w:pPr>
        <w:pStyle w:val="2"/>
        <w:spacing w:before="232" w:line="230" w:lineRule="auto"/>
        <w:ind w:left="606"/>
      </w:pPr>
      <w:r>
        <w:rPr>
          <w:rFonts w:ascii="Times New Roman" w:hAnsi="Times New Roman" w:eastAsia="Times New Roman" w:cs="Times New Roman"/>
          <w:spacing w:val="-3"/>
        </w:rPr>
        <w:t>1</w:t>
      </w:r>
      <w:r>
        <w:rPr>
          <w:spacing w:val="-3"/>
        </w:rPr>
        <w:t>）消防泵选型测试方法研究；</w:t>
      </w:r>
    </w:p>
    <w:p w14:paraId="55F5AD1A">
      <w:pPr>
        <w:pStyle w:val="2"/>
        <w:spacing w:before="229" w:line="229" w:lineRule="auto"/>
        <w:ind w:left="579"/>
      </w:pPr>
      <w:r>
        <w:rPr>
          <w:rFonts w:ascii="Times New Roman" w:hAnsi="Times New Roman" w:eastAsia="Times New Roman" w:cs="Times New Roman"/>
        </w:rPr>
        <w:t>2</w:t>
      </w:r>
      <w:r>
        <w:t>）灭火剂与消防炮、消防水枪组合选型测试</w:t>
      </w:r>
      <w:r>
        <w:rPr>
          <w:spacing w:val="-1"/>
        </w:rPr>
        <w:t>方法研究；</w:t>
      </w:r>
    </w:p>
    <w:p w14:paraId="177CAE0F">
      <w:pPr>
        <w:pStyle w:val="2"/>
        <w:spacing w:before="232" w:line="372" w:lineRule="auto"/>
        <w:ind w:left="29" w:right="67" w:firstLine="555"/>
      </w:pPr>
      <w:r>
        <w:rPr>
          <w:rFonts w:ascii="Times New Roman" w:hAnsi="Times New Roman" w:eastAsia="Times New Roman" w:cs="Times New Roman"/>
          <w:spacing w:val="1"/>
        </w:rPr>
        <w:t>3</w:t>
      </w:r>
      <w:r>
        <w:rPr>
          <w:spacing w:val="1"/>
        </w:rPr>
        <w:t>）消防车、消防无人机等成套装备冷喷性能及喷射准确性测试</w:t>
      </w:r>
      <w:r>
        <w:rPr>
          <w:spacing w:val="-3"/>
        </w:rPr>
        <w:t>方法研究；</w:t>
      </w:r>
    </w:p>
    <w:p w14:paraId="2E0CBBB6">
      <w:pPr>
        <w:pStyle w:val="2"/>
        <w:spacing w:before="32" w:line="229" w:lineRule="auto"/>
        <w:ind w:left="578"/>
      </w:pPr>
      <w:r>
        <w:rPr>
          <w:rFonts w:ascii="Times New Roman" w:hAnsi="Times New Roman" w:eastAsia="Times New Roman" w:cs="Times New Roman"/>
          <w:spacing w:val="-2"/>
        </w:rPr>
        <w:t>4</w:t>
      </w:r>
      <w:r>
        <w:rPr>
          <w:spacing w:val="-2"/>
        </w:rPr>
        <w:t>）</w:t>
      </w:r>
      <w:r>
        <w:rPr>
          <w:rFonts w:ascii="Times New Roman" w:hAnsi="Times New Roman" w:eastAsia="Times New Roman" w:cs="Times New Roman"/>
          <w:spacing w:val="-2"/>
        </w:rPr>
        <w:t>30 m</w:t>
      </w:r>
      <w:r>
        <w:rPr>
          <w:spacing w:val="-2"/>
        </w:rPr>
        <w:t>级冷喷试验平台研制与工程示范。</w:t>
      </w:r>
    </w:p>
    <w:p w14:paraId="7C50061C">
      <w:pPr>
        <w:spacing w:before="201" w:line="225" w:lineRule="auto"/>
        <w:ind w:left="693"/>
        <w:outlineLvl w:val="1"/>
        <w:rPr>
          <w:rFonts w:ascii="楷体" w:hAnsi="楷体" w:eastAsia="楷体" w:cs="楷体"/>
          <w:sz w:val="31"/>
          <w:szCs w:val="31"/>
        </w:rPr>
      </w:pPr>
      <w:r>
        <w:rPr>
          <w:rFonts w:ascii="楷体" w:hAnsi="楷体" w:eastAsia="楷体" w:cs="楷体"/>
          <w:spacing w:val="1"/>
          <w:sz w:val="31"/>
          <w:szCs w:val="31"/>
        </w:rPr>
        <w:t>（四）考核指标</w:t>
      </w:r>
    </w:p>
    <w:p w14:paraId="58814E5D">
      <w:pPr>
        <w:pStyle w:val="2"/>
        <w:spacing w:before="235" w:line="230" w:lineRule="auto"/>
        <w:ind w:left="606"/>
      </w:pPr>
      <w:r>
        <w:rPr>
          <w:rFonts w:ascii="Times New Roman" w:hAnsi="Times New Roman" w:eastAsia="Times New Roman" w:cs="Times New Roman"/>
          <w:spacing w:val="-6"/>
        </w:rPr>
        <w:t>1</w:t>
      </w:r>
      <w:r>
        <w:rPr>
          <w:spacing w:val="-6"/>
        </w:rPr>
        <w:t>）形成消防泵选型测试方法报告</w:t>
      </w:r>
      <w:r>
        <w:rPr>
          <w:rFonts w:ascii="Times New Roman" w:hAnsi="Times New Roman" w:eastAsia="Times New Roman" w:cs="Times New Roman"/>
          <w:spacing w:val="-6"/>
        </w:rPr>
        <w:t>1</w:t>
      </w:r>
      <w:r>
        <w:rPr>
          <w:spacing w:val="-6"/>
        </w:rPr>
        <w:t>份；</w:t>
      </w:r>
    </w:p>
    <w:p w14:paraId="35EB0DF9">
      <w:pPr>
        <w:pStyle w:val="2"/>
        <w:spacing w:before="230" w:line="229" w:lineRule="auto"/>
        <w:jc w:val="right"/>
      </w:pPr>
      <w:r>
        <w:rPr>
          <w:rFonts w:ascii="Times New Roman" w:hAnsi="Times New Roman" w:eastAsia="Times New Roman" w:cs="Times New Roman"/>
          <w:spacing w:val="-7"/>
        </w:rPr>
        <w:t>2</w:t>
      </w:r>
      <w:r>
        <w:rPr>
          <w:spacing w:val="-7"/>
        </w:rPr>
        <w:t>）形成灭火剂与消防炮、消防水枪组合选型测试方法报告</w:t>
      </w:r>
      <w:r>
        <w:rPr>
          <w:rFonts w:ascii="Times New Roman" w:hAnsi="Times New Roman" w:eastAsia="Times New Roman" w:cs="Times New Roman"/>
          <w:spacing w:val="-7"/>
        </w:rPr>
        <w:t>1</w:t>
      </w:r>
      <w:r>
        <w:rPr>
          <w:spacing w:val="-7"/>
        </w:rPr>
        <w:t>份；</w:t>
      </w:r>
    </w:p>
    <w:p w14:paraId="12443FA0">
      <w:pPr>
        <w:pStyle w:val="2"/>
        <w:spacing w:before="234" w:line="229" w:lineRule="auto"/>
        <w:ind w:left="585"/>
      </w:pPr>
      <w:r>
        <w:rPr>
          <w:rFonts w:ascii="Times New Roman" w:hAnsi="Times New Roman" w:eastAsia="Times New Roman" w:cs="Times New Roman"/>
          <w:spacing w:val="-4"/>
        </w:rPr>
        <w:t>3</w:t>
      </w:r>
      <w:r>
        <w:rPr>
          <w:spacing w:val="-4"/>
        </w:rPr>
        <w:t>）形成成套装备冷喷性能测试方法报告</w:t>
      </w:r>
      <w:r>
        <w:rPr>
          <w:rFonts w:ascii="Times New Roman" w:hAnsi="Times New Roman" w:eastAsia="Times New Roman" w:cs="Times New Roman"/>
          <w:spacing w:val="-4"/>
        </w:rPr>
        <w:t>1</w:t>
      </w:r>
      <w:r>
        <w:rPr>
          <w:spacing w:val="-4"/>
        </w:rPr>
        <w:t>份；</w:t>
      </w:r>
    </w:p>
    <w:p w14:paraId="5C235C3A">
      <w:pPr>
        <w:pStyle w:val="2"/>
        <w:spacing w:before="232" w:line="377" w:lineRule="auto"/>
        <w:ind w:left="16" w:right="65" w:firstLine="561"/>
      </w:pPr>
      <w:r>
        <w:rPr>
          <w:rFonts w:ascii="Times New Roman" w:hAnsi="Times New Roman" w:eastAsia="Times New Roman" w:cs="Times New Roman"/>
          <w:spacing w:val="-2"/>
        </w:rPr>
        <w:t>4</w:t>
      </w:r>
      <w:r>
        <w:rPr>
          <w:spacing w:val="-2"/>
        </w:rPr>
        <w:t>）研制</w:t>
      </w:r>
      <w:r>
        <w:rPr>
          <w:rFonts w:ascii="Times New Roman" w:hAnsi="Times New Roman" w:eastAsia="Times New Roman" w:cs="Times New Roman"/>
          <w:spacing w:val="-2"/>
        </w:rPr>
        <w:t>30</w:t>
      </w:r>
      <w:r>
        <w:rPr>
          <w:rFonts w:ascii="Times New Roman" w:hAnsi="Times New Roman" w:eastAsia="Times New Roman" w:cs="Times New Roman"/>
          <w:spacing w:val="36"/>
          <w:w w:val="101"/>
        </w:rPr>
        <w:t xml:space="preserve"> </w:t>
      </w:r>
      <w:r>
        <w:rPr>
          <w:rFonts w:ascii="Times New Roman" w:hAnsi="Times New Roman" w:eastAsia="Times New Roman" w:cs="Times New Roman"/>
          <w:spacing w:val="-2"/>
        </w:rPr>
        <w:t>m</w:t>
      </w:r>
      <w:r>
        <w:rPr>
          <w:spacing w:val="-2"/>
        </w:rPr>
        <w:t>级冷喷试验平台</w:t>
      </w:r>
      <w:r>
        <w:rPr>
          <w:rFonts w:ascii="Times New Roman" w:hAnsi="Times New Roman" w:eastAsia="Times New Roman" w:cs="Times New Roman"/>
          <w:spacing w:val="-2"/>
        </w:rPr>
        <w:t>1</w:t>
      </w:r>
      <w:r>
        <w:rPr>
          <w:spacing w:val="-2"/>
        </w:rPr>
        <w:t>套，试验</w:t>
      </w:r>
      <w:r>
        <w:rPr>
          <w:spacing w:val="-3"/>
        </w:rPr>
        <w:t>塔长、宽、高分别≥</w:t>
      </w:r>
      <w:r>
        <w:rPr>
          <w:rFonts w:ascii="Times New Roman" w:hAnsi="Times New Roman" w:eastAsia="Times New Roman" w:cs="Times New Roman"/>
          <w:spacing w:val="-3"/>
        </w:rPr>
        <w:t>8</w:t>
      </w:r>
      <w:r>
        <w:rPr>
          <w:rFonts w:ascii="Times New Roman" w:hAnsi="Times New Roman" w:eastAsia="Times New Roman" w:cs="Times New Roman"/>
        </w:rPr>
        <w:t xml:space="preserve"> </w:t>
      </w:r>
      <w:r>
        <w:rPr>
          <w:rFonts w:ascii="Times New Roman" w:hAnsi="Times New Roman" w:eastAsia="Times New Roman" w:cs="Times New Roman"/>
          <w:spacing w:val="-5"/>
        </w:rPr>
        <w:t>m</w:t>
      </w:r>
      <w:r>
        <w:rPr>
          <w:rFonts w:ascii="Times New Roman" w:hAnsi="Times New Roman" w:eastAsia="Times New Roman" w:cs="Times New Roman"/>
          <w:spacing w:val="-36"/>
        </w:rPr>
        <w:t xml:space="preserve"> </w:t>
      </w:r>
      <w:r>
        <w:rPr>
          <w:spacing w:val="-5"/>
        </w:rPr>
        <w:t>、</w:t>
      </w:r>
      <w:r>
        <w:rPr>
          <w:rFonts w:ascii="Times New Roman" w:hAnsi="Times New Roman" w:eastAsia="Times New Roman" w:cs="Times New Roman"/>
          <w:spacing w:val="-5"/>
        </w:rPr>
        <w:t>6</w:t>
      </w:r>
      <w:r>
        <w:rPr>
          <w:rFonts w:ascii="Times New Roman" w:hAnsi="Times New Roman" w:eastAsia="Times New Roman" w:cs="Times New Roman"/>
          <w:spacing w:val="-14"/>
        </w:rPr>
        <w:t xml:space="preserve"> </w:t>
      </w:r>
      <w:r>
        <w:rPr>
          <w:rFonts w:ascii="Times New Roman" w:hAnsi="Times New Roman" w:eastAsia="Times New Roman" w:cs="Times New Roman"/>
          <w:spacing w:val="-5"/>
        </w:rPr>
        <w:t>m</w:t>
      </w:r>
      <w:r>
        <w:rPr>
          <w:rFonts w:ascii="Times New Roman" w:hAnsi="Times New Roman" w:eastAsia="Times New Roman" w:cs="Times New Roman"/>
          <w:spacing w:val="-38"/>
        </w:rPr>
        <w:t xml:space="preserve"> </w:t>
      </w:r>
      <w:r>
        <w:rPr>
          <w:spacing w:val="-5"/>
        </w:rPr>
        <w:t>、</w:t>
      </w:r>
      <w:r>
        <w:rPr>
          <w:rFonts w:ascii="Times New Roman" w:hAnsi="Times New Roman" w:eastAsia="Times New Roman" w:cs="Times New Roman"/>
          <w:spacing w:val="-5"/>
        </w:rPr>
        <w:t>30</w:t>
      </w:r>
      <w:r>
        <w:rPr>
          <w:rFonts w:ascii="Times New Roman" w:hAnsi="Times New Roman" w:eastAsia="Times New Roman" w:cs="Times New Roman"/>
          <w:spacing w:val="-14"/>
        </w:rPr>
        <w:t xml:space="preserve"> </w:t>
      </w:r>
      <w:r>
        <w:rPr>
          <w:rFonts w:ascii="Times New Roman" w:hAnsi="Times New Roman" w:eastAsia="Times New Roman" w:cs="Times New Roman"/>
          <w:spacing w:val="-5"/>
        </w:rPr>
        <w:t>m</w:t>
      </w:r>
      <w:r>
        <w:rPr>
          <w:spacing w:val="-5"/>
        </w:rPr>
        <w:t>，喷射走廊≥</w:t>
      </w:r>
      <w:r>
        <w:rPr>
          <w:rFonts w:ascii="Times New Roman" w:hAnsi="Times New Roman" w:eastAsia="Times New Roman" w:cs="Times New Roman"/>
          <w:spacing w:val="-5"/>
        </w:rPr>
        <w:t>80</w:t>
      </w:r>
      <w:r>
        <w:rPr>
          <w:rFonts w:ascii="Times New Roman" w:hAnsi="Times New Roman" w:eastAsia="Times New Roman" w:cs="Times New Roman"/>
          <w:spacing w:val="-14"/>
        </w:rPr>
        <w:t xml:space="preserve"> </w:t>
      </w:r>
      <w:r>
        <w:rPr>
          <w:rFonts w:ascii="Times New Roman" w:hAnsi="Times New Roman" w:eastAsia="Times New Roman" w:cs="Times New Roman"/>
          <w:spacing w:val="-5"/>
        </w:rPr>
        <w:t>m</w:t>
      </w:r>
      <w:r>
        <w:rPr>
          <w:spacing w:val="-5"/>
        </w:rPr>
        <w:t>，泵组压力范围</w:t>
      </w:r>
      <w:r>
        <w:rPr>
          <w:rFonts w:ascii="Times New Roman" w:hAnsi="Times New Roman" w:eastAsia="Times New Roman" w:cs="Times New Roman"/>
          <w:spacing w:val="-5"/>
        </w:rPr>
        <w:t>0</w:t>
      </w:r>
      <w:r>
        <w:rPr>
          <w:spacing w:val="-5"/>
        </w:rPr>
        <w:t>～</w:t>
      </w:r>
      <w:r>
        <w:rPr>
          <w:rFonts w:ascii="Times New Roman" w:hAnsi="Times New Roman" w:eastAsia="Times New Roman" w:cs="Times New Roman"/>
          <w:spacing w:val="-5"/>
        </w:rPr>
        <w:t>10</w:t>
      </w:r>
      <w:r>
        <w:rPr>
          <w:rFonts w:ascii="Times New Roman" w:hAnsi="Times New Roman" w:eastAsia="Times New Roman" w:cs="Times New Roman"/>
          <w:spacing w:val="-14"/>
        </w:rPr>
        <w:t xml:space="preserve"> </w:t>
      </w:r>
      <w:r>
        <w:rPr>
          <w:rFonts w:ascii="Times New Roman" w:hAnsi="Times New Roman" w:eastAsia="Times New Roman" w:cs="Times New Roman"/>
          <w:spacing w:val="-5"/>
        </w:rPr>
        <w:t>M</w:t>
      </w:r>
      <w:r>
        <w:rPr>
          <w:rFonts w:ascii="Times New Roman" w:hAnsi="Times New Roman" w:eastAsia="Times New Roman" w:cs="Times New Roman"/>
          <w:spacing w:val="-6"/>
        </w:rPr>
        <w:t>Pa</w:t>
      </w:r>
      <w:r>
        <w:rPr>
          <w:spacing w:val="-6"/>
        </w:rPr>
        <w:t>，供液流</w:t>
      </w:r>
      <w:r>
        <w:rPr>
          <w:spacing w:val="-5"/>
        </w:rPr>
        <w:t>量≥</w:t>
      </w:r>
      <w:r>
        <w:rPr>
          <w:spacing w:val="-92"/>
        </w:rPr>
        <w:t xml:space="preserve"> </w:t>
      </w:r>
      <w:r>
        <w:rPr>
          <w:rFonts w:ascii="Times New Roman" w:hAnsi="Times New Roman" w:eastAsia="Times New Roman" w:cs="Times New Roman"/>
          <w:spacing w:val="-5"/>
        </w:rPr>
        <w:t>120 L/s</w:t>
      </w:r>
      <w:r>
        <w:rPr>
          <w:spacing w:val="-5"/>
        </w:rPr>
        <w:t>，灭火剂储罐≥</w:t>
      </w:r>
      <w:r>
        <w:rPr>
          <w:rFonts w:ascii="Times New Roman" w:hAnsi="Times New Roman" w:eastAsia="Times New Roman" w:cs="Times New Roman"/>
          <w:spacing w:val="-5"/>
        </w:rPr>
        <w:t>3 m³</w:t>
      </w:r>
      <w:r>
        <w:rPr>
          <w:rFonts w:ascii="Times New Roman" w:hAnsi="Times New Roman" w:eastAsia="Times New Roman" w:cs="Times New Roman"/>
          <w:spacing w:val="-31"/>
        </w:rPr>
        <w:t xml:space="preserve"> </w:t>
      </w:r>
      <w:r>
        <w:rPr>
          <w:spacing w:val="-5"/>
        </w:rPr>
        <w:t>,水池≥</w:t>
      </w:r>
      <w:r>
        <w:rPr>
          <w:spacing w:val="-107"/>
        </w:rPr>
        <w:t xml:space="preserve"> </w:t>
      </w:r>
      <w:r>
        <w:rPr>
          <w:rFonts w:ascii="Times New Roman" w:hAnsi="Times New Roman" w:eastAsia="Times New Roman" w:cs="Times New Roman"/>
          <w:spacing w:val="-5"/>
        </w:rPr>
        <w:t>180 m³</w:t>
      </w:r>
      <w:r>
        <w:rPr>
          <w:spacing w:val="-5"/>
        </w:rPr>
        <w:t>；视频监控范围≥</w:t>
      </w:r>
      <w:r>
        <w:rPr>
          <w:rFonts w:ascii="Times New Roman" w:hAnsi="Times New Roman" w:eastAsia="Times New Roman" w:cs="Times New Roman"/>
          <w:spacing w:val="-5"/>
        </w:rPr>
        <w:t>80</w:t>
      </w:r>
      <w:r>
        <w:rPr>
          <w:rFonts w:ascii="Times New Roman" w:hAnsi="Times New Roman" w:eastAsia="Times New Roman" w:cs="Times New Roman"/>
        </w:rPr>
        <w:t xml:space="preserve"> </w:t>
      </w:r>
      <w:r>
        <w:rPr>
          <w:rFonts w:ascii="Times New Roman" w:hAnsi="Times New Roman" w:eastAsia="Times New Roman" w:cs="Times New Roman"/>
          <w:spacing w:val="-6"/>
        </w:rPr>
        <w:t xml:space="preserve">m </w:t>
      </w:r>
      <w:r>
        <w:rPr>
          <w:spacing w:val="-6"/>
        </w:rPr>
        <w:t>×</w:t>
      </w:r>
      <w:r>
        <w:rPr>
          <w:spacing w:val="-108"/>
        </w:rPr>
        <w:t xml:space="preserve"> </w:t>
      </w:r>
      <w:r>
        <w:rPr>
          <w:rFonts w:ascii="Times New Roman" w:hAnsi="Times New Roman" w:eastAsia="Times New Roman" w:cs="Times New Roman"/>
          <w:spacing w:val="-6"/>
        </w:rPr>
        <w:t xml:space="preserve">10 m </w:t>
      </w:r>
      <w:r>
        <w:rPr>
          <w:spacing w:val="-6"/>
        </w:rPr>
        <w:t>×</w:t>
      </w:r>
      <w:r>
        <w:rPr>
          <w:rFonts w:ascii="Times New Roman" w:hAnsi="Times New Roman" w:eastAsia="Times New Roman" w:cs="Times New Roman"/>
          <w:spacing w:val="-6"/>
        </w:rPr>
        <w:t>30 m</w:t>
      </w:r>
      <w:r>
        <w:rPr>
          <w:spacing w:val="-6"/>
        </w:rPr>
        <w:t>，适配消防装备≥</w:t>
      </w:r>
      <w:r>
        <w:rPr>
          <w:rFonts w:ascii="Times New Roman" w:hAnsi="Times New Roman" w:eastAsia="Times New Roman" w:cs="Times New Roman"/>
          <w:spacing w:val="-6"/>
        </w:rPr>
        <w:t>5</w:t>
      </w:r>
      <w:r>
        <w:rPr>
          <w:spacing w:val="-6"/>
        </w:rPr>
        <w:t>种，供液管径规格≥</w:t>
      </w:r>
      <w:r>
        <w:rPr>
          <w:rFonts w:ascii="Times New Roman" w:hAnsi="Times New Roman" w:eastAsia="Times New Roman" w:cs="Times New Roman"/>
          <w:spacing w:val="-6"/>
        </w:rPr>
        <w:t>5</w:t>
      </w:r>
      <w:r>
        <w:rPr>
          <w:spacing w:val="-6"/>
        </w:rPr>
        <w:t>种。</w:t>
      </w:r>
    </w:p>
    <w:p w14:paraId="3BDA9244">
      <w:pPr>
        <w:spacing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5E92F4F7">
      <w:pPr>
        <w:pStyle w:val="2"/>
        <w:spacing w:before="235" w:line="378" w:lineRule="auto"/>
        <w:ind w:left="20" w:right="70" w:firstLine="586"/>
      </w:pPr>
      <w:r>
        <w:rPr>
          <w:rFonts w:ascii="Times New Roman" w:hAnsi="Times New Roman" w:eastAsia="Times New Roman" w:cs="Times New Roman"/>
        </w:rPr>
        <w:t>1</w:t>
      </w:r>
      <w:r>
        <w:t>）消防泵由依据产品标准开展自身性能测试，提升至面向不同</w:t>
      </w:r>
      <w:r>
        <w:rPr>
          <w:spacing w:val="-4"/>
        </w:rPr>
        <w:t>供液和喷射需求，统一设置试验工况、系统连接和测试流程，同步测</w:t>
      </w:r>
      <w:r>
        <w:rPr>
          <w:spacing w:val="-2"/>
        </w:rPr>
        <w:t>量压力、流量及运行稳定性，为消防泵选型提供可比数据。</w:t>
      </w:r>
    </w:p>
    <w:p w14:paraId="22FFA9B5">
      <w:pPr>
        <w:pStyle w:val="2"/>
        <w:spacing w:before="19" w:line="379" w:lineRule="auto"/>
        <w:ind w:left="22" w:right="67" w:firstLine="557"/>
      </w:pPr>
      <w:r>
        <w:rPr>
          <w:rFonts w:ascii="Times New Roman" w:hAnsi="Times New Roman" w:eastAsia="Times New Roman" w:cs="Times New Roman"/>
          <w:spacing w:val="1"/>
        </w:rPr>
        <w:t>2</w:t>
      </w:r>
      <w:r>
        <w:rPr>
          <w:spacing w:val="1"/>
        </w:rPr>
        <w:t>）灭火剂与消防炮、水枪由分别测试，提升至相同泵组、管路</w:t>
      </w:r>
      <w:r>
        <w:rPr>
          <w:spacing w:val="-3"/>
        </w:rPr>
        <w:t>和供液条件下开展组合测试，同步测量输送</w:t>
      </w:r>
      <w:r>
        <w:rPr>
          <w:spacing w:val="-4"/>
        </w:rPr>
        <w:t>压损、流量、射高、射程</w:t>
      </w:r>
      <w:r>
        <w:rPr>
          <w:spacing w:val="-1"/>
        </w:rPr>
        <w:t>及射流形态，为组合选型提供数据。</w:t>
      </w:r>
    </w:p>
    <w:p w14:paraId="454EB54E">
      <w:pPr>
        <w:pStyle w:val="2"/>
        <w:spacing w:before="14" w:line="379" w:lineRule="auto"/>
        <w:ind w:left="22" w:right="68" w:firstLine="563"/>
      </w:pPr>
      <w:r>
        <w:rPr>
          <w:rFonts w:ascii="Times New Roman" w:hAnsi="Times New Roman" w:eastAsia="Times New Roman" w:cs="Times New Roman"/>
          <w:spacing w:val="1"/>
        </w:rPr>
        <w:t>3</w:t>
      </w:r>
      <w:r>
        <w:rPr>
          <w:spacing w:val="1"/>
        </w:rPr>
        <w:t>）成套装备由按照各类产品标准分别测试，提升至统一试验条</w:t>
      </w:r>
      <w:r>
        <w:rPr>
          <w:spacing w:val="-4"/>
        </w:rPr>
        <w:t>件和观测方式下，对供液、喷射、有效到达及外立面覆盖全过程进行</w:t>
      </w:r>
      <w:r>
        <w:rPr>
          <w:spacing w:val="-2"/>
        </w:rPr>
        <w:t>测试；</w:t>
      </w:r>
    </w:p>
    <w:p w14:paraId="3A24E36D">
      <w:pPr>
        <w:pStyle w:val="2"/>
        <w:spacing w:before="17" w:line="228" w:lineRule="auto"/>
        <w:ind w:left="578"/>
      </w:pPr>
      <w:r>
        <w:rPr>
          <w:rFonts w:ascii="Times New Roman" w:hAnsi="Times New Roman" w:eastAsia="Times New Roman" w:cs="Times New Roman"/>
          <w:spacing w:val="1"/>
        </w:rPr>
        <w:t>4</w:t>
      </w:r>
      <w:r>
        <w:rPr>
          <w:spacing w:val="1"/>
        </w:rPr>
        <w:t>）平台由单类装备测试提升至不少于无人机，高炮、</w:t>
      </w:r>
      <w:r>
        <w:t>水罐、举</w:t>
      </w:r>
    </w:p>
    <w:p w14:paraId="5D91C8BB">
      <w:pPr>
        <w:spacing w:line="228" w:lineRule="auto"/>
        <w:sectPr>
          <w:pgSz w:w="11907" w:h="16839"/>
          <w:pgMar w:top="1431" w:right="1730" w:bottom="0" w:left="1785" w:header="0" w:footer="0" w:gutter="0"/>
          <w:cols w:space="720" w:num="1"/>
        </w:sectPr>
      </w:pPr>
    </w:p>
    <w:p w14:paraId="086F7C5C">
      <w:pPr>
        <w:pStyle w:val="2"/>
        <w:spacing w:before="234" w:line="375" w:lineRule="auto"/>
        <w:ind w:left="19" w:firstLine="18"/>
        <w:jc w:val="both"/>
      </w:pPr>
      <w:r>
        <w:rPr>
          <w:spacing w:val="-12"/>
        </w:rPr>
        <w:t>高、内攻供液消防车等</w:t>
      </w:r>
      <w:r>
        <w:rPr>
          <w:rFonts w:ascii="Times New Roman" w:hAnsi="Times New Roman" w:eastAsia="Times New Roman" w:cs="Times New Roman"/>
          <w:spacing w:val="-12"/>
        </w:rPr>
        <w:t>5</w:t>
      </w:r>
      <w:r>
        <w:rPr>
          <w:spacing w:val="-12"/>
        </w:rPr>
        <w:t>类；供液管径由单一规格提升至不少于</w:t>
      </w:r>
      <w:r>
        <w:rPr>
          <w:rFonts w:ascii="Times New Roman" w:hAnsi="Times New Roman" w:eastAsia="Times New Roman" w:cs="Times New Roman"/>
          <w:spacing w:val="-12"/>
        </w:rPr>
        <w:t>DN</w:t>
      </w:r>
      <w:r>
        <w:rPr>
          <w:rFonts w:ascii="Times New Roman" w:hAnsi="Times New Roman" w:eastAsia="Times New Roman" w:cs="Times New Roman"/>
          <w:spacing w:val="-13"/>
        </w:rPr>
        <w:t>25</w:t>
      </w:r>
      <w:r>
        <w:rPr>
          <w:spacing w:val="-13"/>
        </w:rPr>
        <w:t>、</w:t>
      </w:r>
      <w:r>
        <w:t xml:space="preserve"> </w:t>
      </w:r>
      <w:r>
        <w:rPr>
          <w:rFonts w:ascii="Times New Roman" w:hAnsi="Times New Roman" w:eastAsia="Times New Roman" w:cs="Times New Roman"/>
          <w:spacing w:val="-6"/>
        </w:rPr>
        <w:t>DN40</w:t>
      </w:r>
      <w:r>
        <w:rPr>
          <w:spacing w:val="-6"/>
        </w:rPr>
        <w:t>、</w:t>
      </w:r>
      <w:r>
        <w:rPr>
          <w:rFonts w:ascii="Times New Roman" w:hAnsi="Times New Roman" w:eastAsia="Times New Roman" w:cs="Times New Roman"/>
          <w:spacing w:val="-6"/>
        </w:rPr>
        <w:t>DN50</w:t>
      </w:r>
      <w:r>
        <w:rPr>
          <w:spacing w:val="-6"/>
        </w:rPr>
        <w:t>、</w:t>
      </w:r>
      <w:r>
        <w:rPr>
          <w:rFonts w:ascii="Times New Roman" w:hAnsi="Times New Roman" w:eastAsia="Times New Roman" w:cs="Times New Roman"/>
          <w:spacing w:val="-6"/>
        </w:rPr>
        <w:t>DN65</w:t>
      </w:r>
      <w:r>
        <w:rPr>
          <w:spacing w:val="-6"/>
        </w:rPr>
        <w:t>、</w:t>
      </w:r>
      <w:r>
        <w:rPr>
          <w:rFonts w:ascii="Times New Roman" w:hAnsi="Times New Roman" w:eastAsia="Times New Roman" w:cs="Times New Roman"/>
          <w:spacing w:val="-6"/>
        </w:rPr>
        <w:t>DN80</w:t>
      </w:r>
      <w:r>
        <w:rPr>
          <w:spacing w:val="-6"/>
        </w:rPr>
        <w:t>五种管道，并形成≥</w:t>
      </w:r>
      <w:r>
        <w:rPr>
          <w:rFonts w:ascii="Times New Roman" w:hAnsi="Times New Roman" w:eastAsia="Times New Roman" w:cs="Times New Roman"/>
          <w:spacing w:val="-6"/>
        </w:rPr>
        <w:t>30</w:t>
      </w:r>
      <w:r>
        <w:rPr>
          <w:rFonts w:ascii="Times New Roman" w:hAnsi="Times New Roman" w:eastAsia="Times New Roman" w:cs="Times New Roman"/>
          <w:spacing w:val="-17"/>
        </w:rPr>
        <w:t xml:space="preserve"> </w:t>
      </w:r>
      <w:r>
        <w:rPr>
          <w:rFonts w:ascii="Times New Roman" w:hAnsi="Times New Roman" w:eastAsia="Times New Roman" w:cs="Times New Roman"/>
          <w:spacing w:val="-6"/>
        </w:rPr>
        <w:t>m</w:t>
      </w:r>
      <w:r>
        <w:rPr>
          <w:spacing w:val="-6"/>
        </w:rPr>
        <w:t>试验塔体、</w:t>
      </w:r>
      <w:r>
        <w:rPr>
          <w:spacing w:val="-99"/>
        </w:rPr>
        <w:t xml:space="preserve"> </w:t>
      </w:r>
      <w:r>
        <w:rPr>
          <w:spacing w:val="-6"/>
        </w:rPr>
        <w:t>≥</w:t>
      </w:r>
      <w:r>
        <w:t xml:space="preserve"> </w:t>
      </w:r>
      <w:r>
        <w:rPr>
          <w:rFonts w:ascii="Times New Roman" w:hAnsi="Times New Roman" w:eastAsia="Times New Roman" w:cs="Times New Roman"/>
          <w:spacing w:val="-5"/>
        </w:rPr>
        <w:t>80 m</w:t>
      </w:r>
      <w:r>
        <w:rPr>
          <w:spacing w:val="-5"/>
        </w:rPr>
        <w:t>喷射走廊、</w:t>
      </w:r>
      <w:r>
        <w:rPr>
          <w:spacing w:val="-68"/>
        </w:rPr>
        <w:t xml:space="preserve"> </w:t>
      </w:r>
      <w:r>
        <w:rPr>
          <w:spacing w:val="-5"/>
        </w:rPr>
        <w:t>≥</w:t>
      </w:r>
      <w:r>
        <w:rPr>
          <w:rFonts w:ascii="Times New Roman" w:hAnsi="Times New Roman" w:eastAsia="Times New Roman" w:cs="Times New Roman"/>
          <w:spacing w:val="-5"/>
        </w:rPr>
        <w:t>120 L/s</w:t>
      </w:r>
      <w:r>
        <w:rPr>
          <w:spacing w:val="-5"/>
        </w:rPr>
        <w:t>供液及三维视频监控能力。</w:t>
      </w:r>
    </w:p>
    <w:p w14:paraId="075AF9EA">
      <w:pPr>
        <w:spacing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2231C2BB">
      <w:pPr>
        <w:pStyle w:val="2"/>
        <w:spacing w:before="225" w:line="215" w:lineRule="auto"/>
        <w:ind w:left="596"/>
      </w:pPr>
      <w:r>
        <w:rPr>
          <w:spacing w:val="-1"/>
        </w:rPr>
        <w:t>高层建筑；冷喷试验；测试方法；消防装备；试验平台。</w:t>
      </w:r>
    </w:p>
    <w:p w14:paraId="14F7C1C0">
      <w:pPr>
        <w:spacing w:before="221" w:line="231"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1B6C4BB1">
      <w:pPr>
        <w:pStyle w:val="2"/>
        <w:spacing w:before="226" w:line="214" w:lineRule="auto"/>
        <w:ind w:left="596"/>
      </w:pPr>
      <w:r>
        <w:rPr>
          <w:spacing w:val="-3"/>
        </w:rPr>
        <w:t>重大基础设施类。</w:t>
      </w:r>
    </w:p>
    <w:p w14:paraId="19411680">
      <w:pPr>
        <w:spacing w:before="220" w:line="223" w:lineRule="auto"/>
        <w:ind w:left="693"/>
        <w:outlineLvl w:val="1"/>
        <w:rPr>
          <w:rFonts w:ascii="楷体" w:hAnsi="楷体" w:eastAsia="楷体" w:cs="楷体"/>
          <w:sz w:val="31"/>
          <w:szCs w:val="31"/>
        </w:rPr>
      </w:pPr>
      <w:r>
        <w:rPr>
          <w:rFonts w:ascii="楷体" w:hAnsi="楷体" w:eastAsia="楷体" w:cs="楷体"/>
          <w:spacing w:val="2"/>
          <w:sz w:val="31"/>
          <w:szCs w:val="31"/>
        </w:rPr>
        <w:t>（八）实施年限</w:t>
      </w:r>
    </w:p>
    <w:p w14:paraId="489F39DB">
      <w:pPr>
        <w:pStyle w:val="2"/>
        <w:spacing w:before="239"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78247B40">
      <w:pPr>
        <w:spacing w:before="198" w:line="225" w:lineRule="auto"/>
        <w:ind w:left="693"/>
        <w:outlineLvl w:val="1"/>
        <w:rPr>
          <w:rFonts w:ascii="楷体" w:hAnsi="楷体" w:eastAsia="楷体" w:cs="楷体"/>
          <w:sz w:val="31"/>
          <w:szCs w:val="31"/>
        </w:rPr>
      </w:pPr>
      <w:r>
        <w:rPr>
          <w:rFonts w:ascii="楷体" w:hAnsi="楷体" w:eastAsia="楷体" w:cs="楷体"/>
          <w:spacing w:val="4"/>
          <w:sz w:val="31"/>
          <w:szCs w:val="31"/>
        </w:rPr>
        <w:t>（九）建议支持项目数</w:t>
      </w:r>
    </w:p>
    <w:p w14:paraId="48963FF0">
      <w:pPr>
        <w:pStyle w:val="2"/>
        <w:spacing w:before="234" w:line="232" w:lineRule="auto"/>
        <w:ind w:left="606"/>
      </w:pPr>
      <w:r>
        <w:rPr>
          <w:rFonts w:ascii="Times New Roman" w:hAnsi="Times New Roman" w:eastAsia="Times New Roman" w:cs="Times New Roman"/>
          <w:spacing w:val="-23"/>
        </w:rPr>
        <w:t>1</w:t>
      </w:r>
      <w:r>
        <w:rPr>
          <w:spacing w:val="-23"/>
        </w:rPr>
        <w:t>项。</w:t>
      </w:r>
    </w:p>
    <w:p w14:paraId="317C86F1">
      <w:pPr>
        <w:spacing w:before="196"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5BB479DC">
      <w:pPr>
        <w:pStyle w:val="2"/>
        <w:spacing w:before="231" w:line="377" w:lineRule="auto"/>
        <w:ind w:left="29" w:right="229" w:firstLine="554"/>
        <w:jc w:val="both"/>
      </w:pPr>
      <w:r>
        <w:rPr>
          <w:spacing w:val="-5"/>
        </w:rPr>
        <w:t>联合消防救援支队开展不少于</w:t>
      </w:r>
      <w:r>
        <w:rPr>
          <w:rFonts w:ascii="Times New Roman" w:hAnsi="Times New Roman" w:eastAsia="Times New Roman" w:cs="Times New Roman"/>
          <w:spacing w:val="-5"/>
        </w:rPr>
        <w:t>3</w:t>
      </w:r>
      <w:r>
        <w:rPr>
          <w:spacing w:val="-5"/>
        </w:rPr>
        <w:t>次综合试验演练，系统验证消防</w:t>
      </w:r>
      <w:r>
        <w:rPr>
          <w:spacing w:val="-4"/>
        </w:rPr>
        <w:t>泵选型、灭火剂选型与消防炮、水枪适配、成套装备冷喷性能等测试</w:t>
      </w:r>
      <w:r>
        <w:rPr>
          <w:spacing w:val="-2"/>
        </w:rPr>
        <w:t>方法的科学性和可重复性，以及</w:t>
      </w:r>
      <w:r>
        <w:rPr>
          <w:rFonts w:ascii="Times New Roman" w:hAnsi="Times New Roman" w:eastAsia="Times New Roman" w:cs="Times New Roman"/>
          <w:spacing w:val="-2"/>
        </w:rPr>
        <w:t>30</w:t>
      </w:r>
      <w:r>
        <w:rPr>
          <w:rFonts w:ascii="Times New Roman" w:hAnsi="Times New Roman" w:eastAsia="Times New Roman" w:cs="Times New Roman"/>
          <w:spacing w:val="37"/>
        </w:rPr>
        <w:t xml:space="preserve"> </w:t>
      </w:r>
      <w:r>
        <w:rPr>
          <w:rFonts w:ascii="Times New Roman" w:hAnsi="Times New Roman" w:eastAsia="Times New Roman" w:cs="Times New Roman"/>
          <w:spacing w:val="-2"/>
        </w:rPr>
        <w:t>m</w:t>
      </w:r>
      <w:r>
        <w:rPr>
          <w:spacing w:val="-2"/>
        </w:rPr>
        <w:t>级冷喷试验平台的综合测试能</w:t>
      </w:r>
      <w:r>
        <w:rPr>
          <w:spacing w:val="-18"/>
        </w:rPr>
        <w:t>力。</w:t>
      </w:r>
    </w:p>
    <w:p w14:paraId="328922B4">
      <w:pPr>
        <w:spacing w:before="1" w:line="228"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（十一）项目组织方式及依据</w:t>
      </w:r>
    </w:p>
    <w:p w14:paraId="22EB2454">
      <w:pPr>
        <w:pStyle w:val="2"/>
        <w:spacing w:before="232" w:line="382" w:lineRule="auto"/>
        <w:ind w:left="26" w:right="143" w:firstLine="557"/>
      </w:pPr>
      <w:r>
        <w:rPr>
          <w:spacing w:val="-4"/>
        </w:rPr>
        <w:t>本项目拟采取定向委托方式组织实施，牵头单位为平台建设土地</w:t>
      </w:r>
      <w:r>
        <w:rPr>
          <w:spacing w:val="-7"/>
        </w:rPr>
        <w:t>所有的单位，依据为《随州职业技术学院</w:t>
      </w:r>
      <w:r>
        <w:rPr>
          <w:spacing w:val="50"/>
        </w:rPr>
        <w:t xml:space="preserve"> </w:t>
      </w:r>
      <w:r>
        <w:rPr>
          <w:spacing w:val="-7"/>
        </w:rPr>
        <w:t>院士工作站合作协议书》。</w:t>
      </w:r>
    </w:p>
    <w:p w14:paraId="277F4496">
      <w:pPr>
        <w:spacing w:line="260" w:lineRule="auto"/>
        <w:rPr>
          <w:rFonts w:ascii="Arial"/>
          <w:sz w:val="21"/>
        </w:rPr>
      </w:pPr>
    </w:p>
    <w:p w14:paraId="4FC42AAF">
      <w:pPr>
        <w:spacing w:before="185" w:line="183" w:lineRule="auto"/>
        <w:ind w:left="219"/>
        <w:outlineLvl w:val="0"/>
        <w:rPr>
          <w:rFonts w:ascii="微软雅黑" w:hAnsi="微软雅黑" w:eastAsia="微软雅黑" w:cs="微软雅黑"/>
          <w:sz w:val="43"/>
          <w:szCs w:val="43"/>
        </w:rPr>
      </w:pPr>
      <w:r>
        <w:rPr>
          <w:rFonts w:ascii="微软雅黑" w:hAnsi="微软雅黑" w:eastAsia="微软雅黑" w:cs="微软雅黑"/>
          <w:spacing w:val="8"/>
          <w:sz w:val="43"/>
          <w:szCs w:val="43"/>
        </w:rPr>
        <w:t>三、高层建筑灭火剂适配分析与评估方法</w:t>
      </w:r>
    </w:p>
    <w:p w14:paraId="353EA265">
      <w:pPr>
        <w:spacing w:before="2" w:line="197" w:lineRule="auto"/>
        <w:ind w:left="3733"/>
        <w:outlineLvl w:val="0"/>
        <w:rPr>
          <w:rFonts w:ascii="微软雅黑" w:hAnsi="微软雅黑" w:eastAsia="微软雅黑" w:cs="微软雅黑"/>
          <w:sz w:val="43"/>
          <w:szCs w:val="43"/>
        </w:rPr>
      </w:pPr>
      <w:r>
        <w:rPr>
          <w:rFonts w:ascii="微软雅黑" w:hAnsi="微软雅黑" w:eastAsia="微软雅黑" w:cs="微软雅黑"/>
          <w:spacing w:val="6"/>
          <w:sz w:val="43"/>
          <w:szCs w:val="43"/>
        </w:rPr>
        <w:t>研究</w:t>
      </w:r>
    </w:p>
    <w:p w14:paraId="10B7E618">
      <w:pPr>
        <w:spacing w:before="51" w:line="223" w:lineRule="auto"/>
        <w:ind w:left="693"/>
        <w:outlineLvl w:val="1"/>
        <w:rPr>
          <w:rFonts w:ascii="楷体" w:hAnsi="楷体" w:eastAsia="楷体" w:cs="楷体"/>
          <w:sz w:val="31"/>
          <w:szCs w:val="31"/>
        </w:rPr>
      </w:pPr>
      <w:r>
        <w:rPr>
          <w:rFonts w:ascii="楷体" w:hAnsi="楷体" w:eastAsia="楷体" w:cs="楷体"/>
          <w:spacing w:val="7"/>
          <w:sz w:val="31"/>
          <w:szCs w:val="31"/>
        </w:rPr>
        <w:t>（一）所属研究方向及攻关任务</w:t>
      </w:r>
    </w:p>
    <w:p w14:paraId="6BCBD3DF">
      <w:pPr>
        <w:pStyle w:val="2"/>
        <w:spacing w:before="237" w:line="214" w:lineRule="auto"/>
        <w:ind w:left="590"/>
      </w:pPr>
      <w:r>
        <w:rPr>
          <w:spacing w:val="6"/>
        </w:rPr>
        <w:t>对应随州应急产业院士工作站高层建筑火灾高效灭火方法与灭</w:t>
      </w:r>
    </w:p>
    <w:p w14:paraId="0A1C116C">
      <w:pPr>
        <w:spacing w:line="214" w:lineRule="auto"/>
        <w:sectPr>
          <w:pgSz w:w="11907" w:h="16839"/>
          <w:pgMar w:top="1431" w:right="1569" w:bottom="0" w:left="1785" w:header="0" w:footer="0" w:gutter="0"/>
          <w:cols w:space="720" w:num="1"/>
        </w:sectPr>
      </w:pPr>
    </w:p>
    <w:p w14:paraId="78B2294B">
      <w:pPr>
        <w:pStyle w:val="2"/>
        <w:spacing w:before="233" w:line="215" w:lineRule="auto"/>
        <w:ind w:left="32"/>
      </w:pPr>
      <w:r>
        <w:rPr>
          <w:spacing w:val="-1"/>
        </w:rPr>
        <w:t>火装备研究中开展灭火剂性能分析与评估任务。</w:t>
      </w:r>
    </w:p>
    <w:p w14:paraId="65E07CC3">
      <w:pPr>
        <w:spacing w:before="218" w:line="226" w:lineRule="auto"/>
        <w:ind w:left="693"/>
        <w:outlineLvl w:val="1"/>
        <w:rPr>
          <w:rFonts w:ascii="楷体" w:hAnsi="楷体" w:eastAsia="楷体" w:cs="楷体"/>
          <w:sz w:val="31"/>
          <w:szCs w:val="31"/>
        </w:rPr>
      </w:pPr>
      <w:r>
        <w:rPr>
          <w:rFonts w:ascii="楷体" w:hAnsi="楷体" w:eastAsia="楷体" w:cs="楷体"/>
          <w:spacing w:val="3"/>
          <w:sz w:val="31"/>
          <w:szCs w:val="31"/>
        </w:rPr>
        <w:t>（二）必要性</w:t>
      </w:r>
    </w:p>
    <w:p w14:paraId="156527CF">
      <w:pPr>
        <w:pStyle w:val="2"/>
        <w:spacing w:before="236" w:line="382" w:lineRule="auto"/>
        <w:ind w:left="28" w:right="6" w:firstLine="567"/>
        <w:jc w:val="both"/>
      </w:pPr>
      <w:r>
        <w:rPr>
          <w:spacing w:val="-4"/>
        </w:rPr>
        <w:t>高层建筑外立面火灾燃烧猛烈、蔓延迅速，扑救难</w:t>
      </w:r>
      <w:r>
        <w:rPr>
          <w:spacing w:val="-5"/>
        </w:rPr>
        <w:t>度大，高效灭</w:t>
      </w:r>
      <w:r>
        <w:rPr>
          <w:spacing w:val="-4"/>
        </w:rPr>
        <w:t>火剂是提升火灾扑救效能的关键。水和水系灭火剂具有来源广、可持</w:t>
      </w:r>
      <w:r>
        <w:rPr>
          <w:spacing w:val="-1"/>
        </w:rPr>
        <w:t>续供给、冷却能力强等优势，是目前应用最广泛的灭火介质。然而，在高层建筑外立面火灾场景下，水和水系灭火剂仍面临以下问题：</w:t>
      </w:r>
    </w:p>
    <w:p w14:paraId="4E07B505">
      <w:pPr>
        <w:pStyle w:val="2"/>
        <w:spacing w:before="1" w:line="370" w:lineRule="auto"/>
        <w:ind w:left="26" w:right="119" w:firstLine="579"/>
      </w:pPr>
      <w:r>
        <w:rPr>
          <w:rFonts w:ascii="Times New Roman" w:hAnsi="Times New Roman" w:eastAsia="Times New Roman" w:cs="Times New Roman"/>
          <w:spacing w:val="1"/>
        </w:rPr>
        <w:t>l</w:t>
      </w:r>
      <w:r>
        <w:rPr>
          <w:spacing w:val="1"/>
        </w:rPr>
        <w:t>）射流性能方面，高层建筑火点高、扑救距离远，射流受高空</w:t>
      </w:r>
      <w:r>
        <w:rPr>
          <w:spacing w:val="-3"/>
        </w:rPr>
        <w:t>风场和火场热浪扰动，容易破碎、分散，难以打得高、打</w:t>
      </w:r>
      <w:r>
        <w:rPr>
          <w:spacing w:val="-4"/>
        </w:rPr>
        <w:t>得远；</w:t>
      </w:r>
    </w:p>
    <w:p w14:paraId="03AD264F">
      <w:pPr>
        <w:pStyle w:val="2"/>
        <w:spacing w:before="38" w:line="371" w:lineRule="auto"/>
        <w:ind w:left="36" w:right="98" w:firstLine="543"/>
      </w:pPr>
      <w:r>
        <w:rPr>
          <w:rFonts w:ascii="Times New Roman" w:hAnsi="Times New Roman" w:eastAsia="Times New Roman" w:cs="Times New Roman"/>
          <w:spacing w:val="1"/>
        </w:rPr>
        <w:t>2</w:t>
      </w:r>
      <w:r>
        <w:rPr>
          <w:spacing w:val="1"/>
        </w:rPr>
        <w:t>）灭火性能方面，火场温度可达上千摄氏度，水易蒸发，</w:t>
      </w:r>
      <w:r>
        <w:t>有效</w:t>
      </w:r>
      <w:r>
        <w:rPr>
          <w:spacing w:val="-2"/>
        </w:rPr>
        <w:t>灭火剂量不足，灭火效率低；</w:t>
      </w:r>
    </w:p>
    <w:p w14:paraId="1779F9CC">
      <w:pPr>
        <w:pStyle w:val="2"/>
        <w:spacing w:before="31" w:line="381" w:lineRule="auto"/>
        <w:ind w:left="29" w:firstLine="555"/>
      </w:pPr>
      <w:r>
        <w:rPr>
          <w:rFonts w:ascii="Times New Roman" w:hAnsi="Times New Roman" w:eastAsia="Times New Roman" w:cs="Times New Roman"/>
          <w:spacing w:val="1"/>
        </w:rPr>
        <w:t>3</w:t>
      </w:r>
      <w:r>
        <w:rPr>
          <w:spacing w:val="1"/>
        </w:rPr>
        <w:t>）综合评价与工程应用方面，现有灭火剂标准主要面向理化性</w:t>
      </w:r>
      <w:r>
        <w:rPr>
          <w:spacing w:val="-4"/>
        </w:rPr>
        <w:t>能和常规标准火试验，缺少针对远距离射流与高层建筑外立面火灾灭火性能的综合评价方法；不同灭火剂与灭火装备适配关系不明确，也</w:t>
      </w:r>
      <w:r>
        <w:rPr>
          <w:spacing w:val="-1"/>
        </w:rPr>
        <w:t>缺乏实际场景下的应用验证，难以支撑优势灭火剂筛选和工程应用。</w:t>
      </w:r>
    </w:p>
    <w:p w14:paraId="427E779D">
      <w:pPr>
        <w:pStyle w:val="2"/>
        <w:spacing w:before="13" w:line="375" w:lineRule="auto"/>
        <w:ind w:left="28" w:right="81" w:firstLine="571"/>
        <w:jc w:val="both"/>
      </w:pPr>
      <w:r>
        <w:rPr>
          <w:spacing w:val="-5"/>
        </w:rPr>
        <w:t>亟须开展水和水系灭火剂射流性能、灭火性能及综合适配评价研</w:t>
      </w:r>
      <w:r>
        <w:rPr>
          <w:spacing w:val="-4"/>
        </w:rPr>
        <w:t>究，建立灭火剂综合评价与装备适配应用验证方法，为高效灭火剂筛</w:t>
      </w:r>
      <w:r>
        <w:rPr>
          <w:spacing w:val="-3"/>
        </w:rPr>
        <w:t>选、优化及工程应用提供支撑。</w:t>
      </w:r>
    </w:p>
    <w:p w14:paraId="00F3F2C1">
      <w:pPr>
        <w:spacing w:before="2" w:line="222" w:lineRule="auto"/>
        <w:ind w:left="693"/>
        <w:outlineLvl w:val="1"/>
        <w:rPr>
          <w:rFonts w:ascii="楷体" w:hAnsi="楷体" w:eastAsia="楷体" w:cs="楷体"/>
          <w:sz w:val="31"/>
          <w:szCs w:val="31"/>
        </w:rPr>
      </w:pPr>
      <w:r>
        <w:rPr>
          <w:rFonts w:ascii="楷体" w:hAnsi="楷体" w:eastAsia="楷体" w:cs="楷体"/>
          <w:spacing w:val="3"/>
          <w:sz w:val="31"/>
          <w:szCs w:val="31"/>
        </w:rPr>
        <w:t>（三）研究内容</w:t>
      </w:r>
    </w:p>
    <w:p w14:paraId="5B63A141">
      <w:pPr>
        <w:pStyle w:val="2"/>
        <w:spacing w:before="241" w:line="382" w:lineRule="auto"/>
        <w:ind w:left="25" w:right="85" w:firstLine="553"/>
        <w:jc w:val="both"/>
      </w:pPr>
      <w:r>
        <w:rPr>
          <w:spacing w:val="6"/>
        </w:rPr>
        <w:t>针对水和水系灭火剂在高层建筑外立面火灾扑救中存在的远距</w:t>
      </w:r>
      <w:r>
        <w:rPr>
          <w:spacing w:val="-4"/>
        </w:rPr>
        <w:t>离射流性能不足、灭火效能低、综合评价方法缺失以及装备适配和应用验证不足等问题，研究高层建筑外立面火灾的灭火剂适配分析与评</w:t>
      </w:r>
      <w:r>
        <w:rPr>
          <w:spacing w:val="-6"/>
        </w:rPr>
        <w:t>估方法研究。具体包括：</w:t>
      </w:r>
    </w:p>
    <w:p w14:paraId="1F602319">
      <w:pPr>
        <w:pStyle w:val="2"/>
        <w:spacing w:before="1" w:line="228" w:lineRule="auto"/>
        <w:ind w:left="606"/>
      </w:pPr>
      <w:r>
        <w:rPr>
          <w:rFonts w:ascii="Times New Roman" w:hAnsi="Times New Roman" w:eastAsia="Times New Roman" w:cs="Times New Roman"/>
          <w:spacing w:val="-1"/>
        </w:rPr>
        <w:t>l</w:t>
      </w:r>
      <w:r>
        <w:rPr>
          <w:spacing w:val="-1"/>
        </w:rPr>
        <w:t>）高扬程远距离灭火剂输送与射流性能分析与评价；</w:t>
      </w:r>
    </w:p>
    <w:p w14:paraId="097F16D4">
      <w:pPr>
        <w:pStyle w:val="2"/>
        <w:spacing w:before="234" w:line="229" w:lineRule="auto"/>
        <w:ind w:left="579"/>
      </w:pPr>
      <w:r>
        <w:rPr>
          <w:rFonts w:ascii="Times New Roman" w:hAnsi="Times New Roman" w:eastAsia="Times New Roman" w:cs="Times New Roman"/>
          <w:spacing w:val="-3"/>
        </w:rPr>
        <w:t>2</w:t>
      </w:r>
      <w:r>
        <w:rPr>
          <w:spacing w:val="-3"/>
        </w:rPr>
        <w:t>）典型外立面保温材料灭火剂灭火性能分析与评价；</w:t>
      </w:r>
    </w:p>
    <w:p w14:paraId="28FF5764">
      <w:pPr>
        <w:spacing w:line="229" w:lineRule="auto"/>
        <w:sectPr>
          <w:pgSz w:w="11907" w:h="16839"/>
          <w:pgMar w:top="1431" w:right="1714" w:bottom="0" w:left="1785" w:header="0" w:footer="0" w:gutter="0"/>
          <w:cols w:space="720" w:num="1"/>
        </w:sectPr>
      </w:pPr>
    </w:p>
    <w:p w14:paraId="59AA92A4">
      <w:pPr>
        <w:pStyle w:val="2"/>
        <w:spacing w:before="233" w:line="231" w:lineRule="auto"/>
        <w:ind w:left="585"/>
      </w:pPr>
      <w:r>
        <w:rPr>
          <w:rFonts w:ascii="Times New Roman" w:hAnsi="Times New Roman" w:eastAsia="Times New Roman" w:cs="Times New Roman"/>
          <w:spacing w:val="-1"/>
        </w:rPr>
        <w:t>3</w:t>
      </w:r>
      <w:r>
        <w:rPr>
          <w:spacing w:val="-1"/>
        </w:rPr>
        <w:t>）灭火剂综合适配评价与示范应用。</w:t>
      </w:r>
    </w:p>
    <w:p w14:paraId="06B8833B">
      <w:pPr>
        <w:spacing w:before="194" w:line="225" w:lineRule="auto"/>
        <w:ind w:left="693"/>
        <w:outlineLvl w:val="1"/>
        <w:rPr>
          <w:rFonts w:ascii="楷体" w:hAnsi="楷体" w:eastAsia="楷体" w:cs="楷体"/>
          <w:sz w:val="31"/>
          <w:szCs w:val="31"/>
        </w:rPr>
      </w:pPr>
      <w:r>
        <w:rPr>
          <w:rFonts w:ascii="楷体" w:hAnsi="楷体" w:eastAsia="楷体" w:cs="楷体"/>
          <w:spacing w:val="4"/>
          <w:sz w:val="31"/>
          <w:szCs w:val="31"/>
        </w:rPr>
        <w:t>（四）考核指标</w:t>
      </w:r>
    </w:p>
    <w:p w14:paraId="77226387">
      <w:pPr>
        <w:pStyle w:val="2"/>
        <w:spacing w:before="236" w:line="381" w:lineRule="auto"/>
        <w:ind w:left="34" w:right="75" w:firstLine="572"/>
      </w:pPr>
      <w:r>
        <w:rPr>
          <w:rFonts w:ascii="Times New Roman" w:hAnsi="Times New Roman" w:eastAsia="Times New Roman" w:cs="Times New Roman"/>
          <w:spacing w:val="-3"/>
        </w:rPr>
        <w:t>1</w:t>
      </w:r>
      <w:r>
        <w:rPr>
          <w:spacing w:val="-3"/>
        </w:rPr>
        <w:t>）输送与射流性能评价方法报告</w:t>
      </w:r>
      <w:r>
        <w:rPr>
          <w:rFonts w:ascii="Times New Roman" w:hAnsi="Times New Roman" w:eastAsia="Times New Roman" w:cs="Times New Roman"/>
          <w:spacing w:val="-3"/>
        </w:rPr>
        <w:t>1</w:t>
      </w:r>
      <w:r>
        <w:rPr>
          <w:spacing w:val="-3"/>
        </w:rPr>
        <w:t>份，输送与射流性能强相关</w:t>
      </w:r>
      <w:r>
        <w:rPr>
          <w:spacing w:val="-6"/>
        </w:rPr>
        <w:t>物性参数≥</w:t>
      </w:r>
      <w:r>
        <w:rPr>
          <w:rFonts w:ascii="Times New Roman" w:hAnsi="Times New Roman" w:eastAsia="Times New Roman" w:cs="Times New Roman"/>
          <w:spacing w:val="-6"/>
        </w:rPr>
        <w:t>5</w:t>
      </w:r>
      <w:r>
        <w:rPr>
          <w:spacing w:val="-6"/>
        </w:rPr>
        <w:t>项；</w:t>
      </w:r>
    </w:p>
    <w:p w14:paraId="09116B10">
      <w:pPr>
        <w:pStyle w:val="2"/>
        <w:spacing w:before="4" w:line="381" w:lineRule="auto"/>
        <w:ind w:left="37" w:right="96" w:firstLine="541"/>
      </w:pPr>
      <w:r>
        <w:rPr>
          <w:rFonts w:ascii="Times New Roman" w:hAnsi="Times New Roman" w:eastAsia="Times New Roman" w:cs="Times New Roman"/>
          <w:spacing w:val="-3"/>
        </w:rPr>
        <w:t>2</w:t>
      </w:r>
      <w:r>
        <w:rPr>
          <w:spacing w:val="-3"/>
        </w:rPr>
        <w:t>）外立面保温材料火灾灭火效能评价方法报告</w:t>
      </w:r>
      <w:r>
        <w:rPr>
          <w:rFonts w:ascii="Times New Roman" w:hAnsi="Times New Roman" w:eastAsia="Times New Roman" w:cs="Times New Roman"/>
          <w:spacing w:val="-3"/>
        </w:rPr>
        <w:t>1</w:t>
      </w:r>
      <w:r>
        <w:rPr>
          <w:spacing w:val="-3"/>
        </w:rPr>
        <w:t>份，典型外立面保温材料灭火试验≥</w:t>
      </w:r>
      <w:r>
        <w:rPr>
          <w:rFonts w:ascii="Times New Roman" w:hAnsi="Times New Roman" w:eastAsia="Times New Roman" w:cs="Times New Roman"/>
          <w:spacing w:val="-3"/>
        </w:rPr>
        <w:t>4</w:t>
      </w:r>
      <w:r>
        <w:rPr>
          <w:spacing w:val="-3"/>
        </w:rPr>
        <w:t>类，灭火效能强相关物性参数≥</w:t>
      </w:r>
      <w:r>
        <w:rPr>
          <w:rFonts w:ascii="Times New Roman" w:hAnsi="Times New Roman" w:eastAsia="Times New Roman" w:cs="Times New Roman"/>
          <w:spacing w:val="-3"/>
        </w:rPr>
        <w:t>6</w:t>
      </w:r>
      <w:r>
        <w:rPr>
          <w:spacing w:val="-3"/>
        </w:rPr>
        <w:t>项；</w:t>
      </w:r>
    </w:p>
    <w:p w14:paraId="35AD3F27">
      <w:pPr>
        <w:pStyle w:val="2"/>
        <w:spacing w:before="4" w:line="370" w:lineRule="auto"/>
        <w:ind w:left="17" w:right="139" w:firstLine="567"/>
      </w:pPr>
      <w:r>
        <w:rPr>
          <w:rFonts w:ascii="Times New Roman" w:hAnsi="Times New Roman" w:eastAsia="Times New Roman" w:cs="Times New Roman"/>
          <w:spacing w:val="-14"/>
        </w:rPr>
        <w:t>3</w:t>
      </w:r>
      <w:r>
        <w:rPr>
          <w:spacing w:val="-14"/>
        </w:rPr>
        <w:t>）综合性能评估指标体系报告</w:t>
      </w:r>
      <w:r>
        <w:rPr>
          <w:rFonts w:ascii="Times New Roman" w:hAnsi="Times New Roman" w:eastAsia="Times New Roman" w:cs="Times New Roman"/>
          <w:spacing w:val="-14"/>
        </w:rPr>
        <w:t>1</w:t>
      </w:r>
      <w:r>
        <w:rPr>
          <w:spacing w:val="-14"/>
        </w:rPr>
        <w:t>份，综合评价物性参数≥</w:t>
      </w:r>
      <w:r>
        <w:rPr>
          <w:spacing w:val="-106"/>
        </w:rPr>
        <w:t xml:space="preserve"> </w:t>
      </w:r>
      <w:r>
        <w:rPr>
          <w:rFonts w:ascii="Times New Roman" w:hAnsi="Times New Roman" w:eastAsia="Times New Roman" w:cs="Times New Roman"/>
          <w:spacing w:val="-14"/>
        </w:rPr>
        <w:t>10</w:t>
      </w:r>
      <w:r>
        <w:rPr>
          <w:spacing w:val="-14"/>
        </w:rPr>
        <w:t>项，</w:t>
      </w:r>
      <w:r>
        <w:rPr>
          <w:spacing w:val="-3"/>
        </w:rPr>
        <w:t>形成权重分配、综合评分和等级划分方法；</w:t>
      </w:r>
    </w:p>
    <w:p w14:paraId="17FDBA43">
      <w:pPr>
        <w:pStyle w:val="2"/>
        <w:spacing w:before="39" w:line="374" w:lineRule="auto"/>
        <w:ind w:left="29" w:right="75" w:firstLine="548"/>
      </w:pPr>
      <w:r>
        <w:rPr>
          <w:rFonts w:ascii="Times New Roman" w:hAnsi="Times New Roman" w:eastAsia="Times New Roman" w:cs="Times New Roman"/>
          <w:spacing w:val="-3"/>
        </w:rPr>
        <w:t>4</w:t>
      </w:r>
      <w:r>
        <w:rPr>
          <w:spacing w:val="-3"/>
        </w:rPr>
        <w:t>）提供高层建筑适配灭火剂≥</w:t>
      </w:r>
      <w:r>
        <w:rPr>
          <w:rFonts w:ascii="Times New Roman" w:hAnsi="Times New Roman" w:eastAsia="Times New Roman" w:cs="Times New Roman"/>
          <w:spacing w:val="-3"/>
        </w:rPr>
        <w:t>50</w:t>
      </w:r>
      <w:r>
        <w:rPr>
          <w:rFonts w:ascii="Times New Roman" w:hAnsi="Times New Roman" w:eastAsia="Times New Roman" w:cs="Times New Roman"/>
          <w:spacing w:val="-13"/>
        </w:rPr>
        <w:t xml:space="preserve"> </w:t>
      </w:r>
      <w:r>
        <w:rPr>
          <w:rFonts w:ascii="Times New Roman" w:hAnsi="Times New Roman" w:eastAsia="Times New Roman" w:cs="Times New Roman"/>
          <w:spacing w:val="-3"/>
        </w:rPr>
        <w:t>t</w:t>
      </w:r>
      <w:r>
        <w:rPr>
          <w:spacing w:val="-3"/>
        </w:rPr>
        <w:t>；相同工况下，垂直射高、水</w:t>
      </w:r>
      <w:r>
        <w:rPr>
          <w:spacing w:val="-1"/>
        </w:rPr>
        <w:t>平射程较水提高≥</w:t>
      </w:r>
      <w:r>
        <w:rPr>
          <w:rFonts w:ascii="Times New Roman" w:hAnsi="Times New Roman" w:eastAsia="Times New Roman" w:cs="Times New Roman"/>
          <w:spacing w:val="-1"/>
        </w:rPr>
        <w:t>20%</w:t>
      </w:r>
      <w:r>
        <w:rPr>
          <w:spacing w:val="-1"/>
        </w:rPr>
        <w:t>，灭火效率较水提高</w:t>
      </w:r>
      <w:r>
        <w:rPr>
          <w:rFonts w:ascii="Times New Roman" w:hAnsi="Times New Roman" w:eastAsia="Times New Roman" w:cs="Times New Roman"/>
          <w:spacing w:val="-1"/>
        </w:rPr>
        <w:t>6</w:t>
      </w:r>
      <w:r>
        <w:rPr>
          <w:spacing w:val="-1"/>
        </w:rPr>
        <w:t>倍，示范应用</w:t>
      </w:r>
      <w:r>
        <w:rPr>
          <w:spacing w:val="-51"/>
        </w:rPr>
        <w:t xml:space="preserve"> </w:t>
      </w:r>
      <w:r>
        <w:rPr>
          <w:spacing w:val="-1"/>
        </w:rPr>
        <w:t>≥</w:t>
      </w:r>
      <w:r>
        <w:rPr>
          <w:rFonts w:ascii="Times New Roman" w:hAnsi="Times New Roman" w:eastAsia="Times New Roman" w:cs="Times New Roman"/>
          <w:spacing w:val="-1"/>
        </w:rPr>
        <w:t>5</w:t>
      </w:r>
      <w:r>
        <w:rPr>
          <w:spacing w:val="-1"/>
        </w:rPr>
        <w:t>种消</w:t>
      </w:r>
      <w:r>
        <w:rPr>
          <w:spacing w:val="-14"/>
        </w:rPr>
        <w:t>防装备。</w:t>
      </w:r>
    </w:p>
    <w:p w14:paraId="24BFFBC2">
      <w:pPr>
        <w:spacing w:before="5"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22BC7481">
      <w:pPr>
        <w:pStyle w:val="2"/>
        <w:spacing w:before="232" w:line="381" w:lineRule="auto"/>
        <w:ind w:left="25" w:right="78" w:firstLine="581"/>
      </w:pPr>
      <w:r>
        <w:rPr>
          <w:rFonts w:ascii="Times New Roman" w:hAnsi="Times New Roman" w:eastAsia="Times New Roman" w:cs="Times New Roman"/>
        </w:rPr>
        <w:t>1</w:t>
      </w:r>
      <w:r>
        <w:t>）覆盖管路输送、喷口射出和空中射流过程的输送与射流性能</w:t>
      </w:r>
      <w:r>
        <w:rPr>
          <w:spacing w:val="-5"/>
        </w:rPr>
        <w:t>评价方法报告</w:t>
      </w:r>
      <w:r>
        <w:rPr>
          <w:rFonts w:ascii="Times New Roman" w:hAnsi="Times New Roman" w:eastAsia="Times New Roman" w:cs="Times New Roman"/>
          <w:spacing w:val="-5"/>
        </w:rPr>
        <w:t>1</w:t>
      </w:r>
      <w:r>
        <w:rPr>
          <w:spacing w:val="-5"/>
        </w:rPr>
        <w:t>份；对输送压损、射流稳定性、垂直射高及水平射程</w:t>
      </w:r>
      <w:r>
        <w:rPr>
          <w:spacing w:val="-2"/>
        </w:rPr>
        <w:t>具有显著影响的物性参数≥</w:t>
      </w:r>
      <w:r>
        <w:rPr>
          <w:rFonts w:ascii="Times New Roman" w:hAnsi="Times New Roman" w:eastAsia="Times New Roman" w:cs="Times New Roman"/>
          <w:spacing w:val="-2"/>
        </w:rPr>
        <w:t>5</w:t>
      </w:r>
      <w:r>
        <w:rPr>
          <w:spacing w:val="-2"/>
        </w:rPr>
        <w:t>项。</w:t>
      </w:r>
    </w:p>
    <w:p w14:paraId="69AF3C4A">
      <w:pPr>
        <w:pStyle w:val="2"/>
        <w:spacing w:before="8" w:line="381" w:lineRule="auto"/>
        <w:ind w:left="23" w:right="80" w:firstLine="556"/>
      </w:pPr>
      <w:r>
        <w:rPr>
          <w:rFonts w:ascii="Times New Roman" w:hAnsi="Times New Roman" w:eastAsia="Times New Roman" w:cs="Times New Roman"/>
          <w:spacing w:val="-2"/>
        </w:rPr>
        <w:t>2</w:t>
      </w:r>
      <w:r>
        <w:rPr>
          <w:spacing w:val="-2"/>
        </w:rPr>
        <w:t>）外立面保温材料火灾灭火效能评价方法报告</w:t>
      </w:r>
      <w:r>
        <w:rPr>
          <w:rFonts w:ascii="Times New Roman" w:hAnsi="Times New Roman" w:eastAsia="Times New Roman" w:cs="Times New Roman"/>
          <w:spacing w:val="-2"/>
        </w:rPr>
        <w:t>1</w:t>
      </w:r>
      <w:r>
        <w:rPr>
          <w:spacing w:val="-2"/>
        </w:rPr>
        <w:t>份，试</w:t>
      </w:r>
      <w:r>
        <w:rPr>
          <w:spacing w:val="-3"/>
        </w:rPr>
        <w:t>验对象</w:t>
      </w:r>
      <w:r>
        <w:rPr>
          <w:spacing w:val="-2"/>
        </w:rPr>
        <w:t>覆盖≥</w:t>
      </w:r>
      <w:r>
        <w:rPr>
          <w:rFonts w:ascii="Times New Roman" w:hAnsi="Times New Roman" w:eastAsia="Times New Roman" w:cs="Times New Roman"/>
          <w:spacing w:val="-2"/>
        </w:rPr>
        <w:t>4</w:t>
      </w:r>
      <w:r>
        <w:rPr>
          <w:spacing w:val="-2"/>
        </w:rPr>
        <w:t>类典型外立面保温材料；筛选对灭火、降温及防复燃效能具有显著影响的物性参数≥</w:t>
      </w:r>
      <w:r>
        <w:rPr>
          <w:rFonts w:ascii="Times New Roman" w:hAnsi="Times New Roman" w:eastAsia="Times New Roman" w:cs="Times New Roman"/>
          <w:spacing w:val="-2"/>
        </w:rPr>
        <w:t>6</w:t>
      </w:r>
      <w:r>
        <w:rPr>
          <w:spacing w:val="-2"/>
        </w:rPr>
        <w:t>项。</w:t>
      </w:r>
    </w:p>
    <w:p w14:paraId="413361A4">
      <w:pPr>
        <w:pStyle w:val="2"/>
        <w:spacing w:before="6" w:line="374" w:lineRule="auto"/>
        <w:ind w:left="37" w:right="109" w:firstLine="547"/>
      </w:pPr>
      <w:r>
        <w:rPr>
          <w:rFonts w:ascii="Times New Roman" w:hAnsi="Times New Roman" w:eastAsia="Times New Roman" w:cs="Times New Roman"/>
          <w:spacing w:val="-4"/>
        </w:rPr>
        <w:t>3</w:t>
      </w:r>
      <w:r>
        <w:rPr>
          <w:spacing w:val="-4"/>
        </w:rPr>
        <w:t>）综合性能评估指标体系报告</w:t>
      </w:r>
      <w:r>
        <w:rPr>
          <w:rFonts w:ascii="Times New Roman" w:hAnsi="Times New Roman" w:eastAsia="Times New Roman" w:cs="Times New Roman"/>
          <w:spacing w:val="-4"/>
        </w:rPr>
        <w:t>1</w:t>
      </w:r>
      <w:r>
        <w:rPr>
          <w:spacing w:val="-4"/>
        </w:rPr>
        <w:t>份，从输送、射流及灭火效能</w:t>
      </w:r>
      <w:r>
        <w:rPr>
          <w:spacing w:val="-8"/>
        </w:rPr>
        <w:t>强相关物性参数中确定综合评价参数≥</w:t>
      </w:r>
      <w:r>
        <w:rPr>
          <w:spacing w:val="-102"/>
        </w:rPr>
        <w:t xml:space="preserve"> </w:t>
      </w:r>
      <w:r>
        <w:rPr>
          <w:rFonts w:ascii="Times New Roman" w:hAnsi="Times New Roman" w:eastAsia="Times New Roman" w:cs="Times New Roman"/>
          <w:spacing w:val="-8"/>
        </w:rPr>
        <w:t>10</w:t>
      </w:r>
      <w:r>
        <w:rPr>
          <w:spacing w:val="-8"/>
        </w:rPr>
        <w:t>项，并形成指标权重分配、</w:t>
      </w:r>
      <w:r>
        <w:rPr>
          <w:spacing w:val="-6"/>
        </w:rPr>
        <w:t>综合评分和等级划分方法。</w:t>
      </w:r>
    </w:p>
    <w:p w14:paraId="60A1E6C5">
      <w:pPr>
        <w:pStyle w:val="2"/>
        <w:spacing w:before="39" w:line="381" w:lineRule="auto"/>
        <w:ind w:left="22" w:firstLine="556"/>
      </w:pPr>
      <w:r>
        <w:rPr>
          <w:rFonts w:ascii="Times New Roman" w:hAnsi="Times New Roman" w:eastAsia="Times New Roman" w:cs="Times New Roman"/>
          <w:spacing w:val="-3"/>
        </w:rPr>
        <w:t>4</w:t>
      </w:r>
      <w:r>
        <w:rPr>
          <w:spacing w:val="-3"/>
        </w:rPr>
        <w:t>）高层建筑适配的灭火剂供给量≥</w:t>
      </w:r>
      <w:r>
        <w:rPr>
          <w:rFonts w:ascii="Times New Roman" w:hAnsi="Times New Roman" w:eastAsia="Times New Roman" w:cs="Times New Roman"/>
          <w:spacing w:val="-3"/>
        </w:rPr>
        <w:t>50</w:t>
      </w:r>
      <w:r>
        <w:rPr>
          <w:rFonts w:ascii="Times New Roman" w:hAnsi="Times New Roman" w:eastAsia="Times New Roman" w:cs="Times New Roman"/>
          <w:spacing w:val="-13"/>
        </w:rPr>
        <w:t xml:space="preserve"> </w:t>
      </w:r>
      <w:r>
        <w:rPr>
          <w:rFonts w:ascii="Times New Roman" w:hAnsi="Times New Roman" w:eastAsia="Times New Roman" w:cs="Times New Roman"/>
          <w:spacing w:val="-3"/>
        </w:rPr>
        <w:t>t</w:t>
      </w:r>
      <w:r>
        <w:rPr>
          <w:spacing w:val="-3"/>
        </w:rPr>
        <w:t>；相同装备、压力、流量</w:t>
      </w:r>
      <w:r>
        <w:rPr>
          <w:spacing w:val="-10"/>
        </w:rPr>
        <w:t>及环境工况下，垂直射高、水平射程较水提高≥</w:t>
      </w:r>
      <w:r>
        <w:rPr>
          <w:rFonts w:ascii="Times New Roman" w:hAnsi="Times New Roman" w:eastAsia="Times New Roman" w:cs="Times New Roman"/>
          <w:spacing w:val="-10"/>
        </w:rPr>
        <w:t>20%</w:t>
      </w:r>
      <w:r>
        <w:rPr>
          <w:spacing w:val="-10"/>
        </w:rPr>
        <w:t>（</w:t>
      </w:r>
      <w:r>
        <w:rPr>
          <w:rFonts w:ascii="Times New Roman" w:hAnsi="Times New Roman" w:eastAsia="Times New Roman" w:cs="Times New Roman"/>
          <w:spacing w:val="-10"/>
        </w:rPr>
        <w:t>GB 19156-2019</w:t>
      </w:r>
      <w:r>
        <w:rPr>
          <w:spacing w:val="-10"/>
        </w:rPr>
        <w:t>，</w:t>
      </w:r>
      <w:r>
        <w:rPr>
          <w:spacing w:val="1"/>
        </w:rPr>
        <w:t xml:space="preserve"> </w:t>
      </w:r>
      <w:r>
        <w:rPr>
          <w:rFonts w:ascii="Times New Roman" w:hAnsi="Times New Roman" w:eastAsia="Times New Roman" w:cs="Times New Roman"/>
          <w:spacing w:val="-2"/>
        </w:rPr>
        <w:t>GB</w:t>
      </w:r>
      <w:r>
        <w:rPr>
          <w:rFonts w:ascii="Times New Roman" w:hAnsi="Times New Roman" w:eastAsia="Times New Roman" w:cs="Times New Roman"/>
          <w:spacing w:val="18"/>
        </w:rPr>
        <w:t xml:space="preserve"> </w:t>
      </w:r>
      <w:r>
        <w:rPr>
          <w:rFonts w:ascii="Times New Roman" w:hAnsi="Times New Roman" w:eastAsia="Times New Roman" w:cs="Times New Roman"/>
          <w:spacing w:val="-2"/>
        </w:rPr>
        <w:t>8181-2025</w:t>
      </w:r>
      <w:r>
        <w:rPr>
          <w:spacing w:val="-65"/>
        </w:rPr>
        <w:t>），</w:t>
      </w:r>
      <w:r>
        <w:rPr>
          <w:spacing w:val="-2"/>
        </w:rPr>
        <w:t>灭火效率较水提高</w:t>
      </w:r>
      <w:r>
        <w:rPr>
          <w:rFonts w:ascii="Times New Roman" w:hAnsi="Times New Roman" w:eastAsia="Times New Roman" w:cs="Times New Roman"/>
          <w:spacing w:val="-2"/>
        </w:rPr>
        <w:t>6</w:t>
      </w:r>
      <w:r>
        <w:rPr>
          <w:spacing w:val="-2"/>
        </w:rPr>
        <w:t>倍。</w:t>
      </w:r>
    </w:p>
    <w:p w14:paraId="78DA7AAE">
      <w:pPr>
        <w:spacing w:line="381" w:lineRule="auto"/>
        <w:sectPr>
          <w:pgSz w:w="11907" w:h="16839"/>
          <w:pgMar w:top="1431" w:right="1720" w:bottom="0" w:left="1785" w:header="0" w:footer="0" w:gutter="0"/>
          <w:cols w:space="720" w:num="1"/>
        </w:sectPr>
      </w:pPr>
    </w:p>
    <w:p w14:paraId="35B8B021">
      <w:pPr>
        <w:spacing w:before="200"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1060B40B">
      <w:pPr>
        <w:pStyle w:val="2"/>
        <w:spacing w:before="225" w:line="372" w:lineRule="auto"/>
        <w:ind w:left="25" w:right="87" w:firstLine="572"/>
      </w:pPr>
      <w:r>
        <w:rPr>
          <w:spacing w:val="-16"/>
        </w:rPr>
        <w:t>外立面火灾；水基灭火剂；性能适配分析；输送</w:t>
      </w:r>
      <w:r>
        <w:rPr>
          <w:spacing w:val="-17"/>
        </w:rPr>
        <w:t>射流；灭火效能；</w:t>
      </w:r>
      <w:r>
        <w:rPr>
          <w:spacing w:val="-2"/>
        </w:rPr>
        <w:t>装备适配；综合评价</w:t>
      </w:r>
    </w:p>
    <w:p w14:paraId="043F8748">
      <w:pPr>
        <w:spacing w:before="1" w:line="230"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6A60C8B2">
      <w:pPr>
        <w:pStyle w:val="2"/>
        <w:spacing w:before="223" w:line="215" w:lineRule="auto"/>
        <w:ind w:left="587"/>
      </w:pPr>
      <w:r>
        <w:rPr>
          <w:spacing w:val="-2"/>
        </w:rPr>
        <w:t>共性关键技术研究。</w:t>
      </w:r>
    </w:p>
    <w:p w14:paraId="5E2A65E9">
      <w:pPr>
        <w:spacing w:before="222" w:line="223" w:lineRule="auto"/>
        <w:ind w:left="693"/>
        <w:outlineLvl w:val="1"/>
        <w:rPr>
          <w:rFonts w:ascii="楷体" w:hAnsi="楷体" w:eastAsia="楷体" w:cs="楷体"/>
          <w:sz w:val="31"/>
          <w:szCs w:val="31"/>
        </w:rPr>
      </w:pPr>
      <w:r>
        <w:rPr>
          <w:rFonts w:ascii="楷体" w:hAnsi="楷体" w:eastAsia="楷体" w:cs="楷体"/>
          <w:spacing w:val="4"/>
          <w:sz w:val="31"/>
          <w:szCs w:val="31"/>
        </w:rPr>
        <w:t>（八）实施年限</w:t>
      </w:r>
    </w:p>
    <w:p w14:paraId="47B081F0">
      <w:pPr>
        <w:pStyle w:val="2"/>
        <w:spacing w:before="239"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09A4ED5F">
      <w:pPr>
        <w:spacing w:before="195" w:line="225" w:lineRule="auto"/>
        <w:ind w:left="693"/>
        <w:outlineLvl w:val="1"/>
        <w:rPr>
          <w:rFonts w:ascii="楷体" w:hAnsi="楷体" w:eastAsia="楷体" w:cs="楷体"/>
          <w:sz w:val="31"/>
          <w:szCs w:val="31"/>
        </w:rPr>
      </w:pPr>
      <w:r>
        <w:rPr>
          <w:rFonts w:ascii="楷体" w:hAnsi="楷体" w:eastAsia="楷体" w:cs="楷体"/>
          <w:spacing w:val="5"/>
          <w:sz w:val="31"/>
          <w:szCs w:val="31"/>
        </w:rPr>
        <w:t>（九）建议支持项目数</w:t>
      </w:r>
    </w:p>
    <w:p w14:paraId="3A3BC5BC">
      <w:pPr>
        <w:pStyle w:val="2"/>
        <w:spacing w:before="237" w:line="232" w:lineRule="auto"/>
        <w:ind w:left="606"/>
      </w:pPr>
      <w:r>
        <w:rPr>
          <w:rFonts w:ascii="Times New Roman" w:hAnsi="Times New Roman" w:eastAsia="Times New Roman" w:cs="Times New Roman"/>
          <w:spacing w:val="-23"/>
        </w:rPr>
        <w:t>1</w:t>
      </w:r>
      <w:r>
        <w:rPr>
          <w:spacing w:val="-23"/>
        </w:rPr>
        <w:t>项。</w:t>
      </w:r>
    </w:p>
    <w:p w14:paraId="6B775D3E">
      <w:pPr>
        <w:spacing w:before="196"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0991DF73">
      <w:pPr>
        <w:pStyle w:val="2"/>
        <w:spacing w:before="228" w:line="379" w:lineRule="auto"/>
        <w:ind w:left="25" w:right="11" w:firstLine="559"/>
        <w:jc w:val="both"/>
      </w:pPr>
      <w:r>
        <w:rPr>
          <w:spacing w:val="-6"/>
        </w:rPr>
        <w:t>联合不少于</w:t>
      </w:r>
      <w:r>
        <w:rPr>
          <w:rFonts w:ascii="Times New Roman" w:hAnsi="Times New Roman" w:eastAsia="Times New Roman" w:cs="Times New Roman"/>
          <w:spacing w:val="-6"/>
        </w:rPr>
        <w:t>1</w:t>
      </w:r>
      <w:r>
        <w:rPr>
          <w:spacing w:val="-6"/>
        </w:rPr>
        <w:t>支消防救援支队，将筛选出的高层建筑适配灭火剂</w:t>
      </w:r>
      <w:r>
        <w:rPr>
          <w:spacing w:val="-4"/>
        </w:rPr>
        <w:t>应用于不少于</w:t>
      </w:r>
      <w:r>
        <w:rPr>
          <w:rFonts w:ascii="Times New Roman" w:hAnsi="Times New Roman" w:eastAsia="Times New Roman" w:cs="Times New Roman"/>
          <w:spacing w:val="-4"/>
        </w:rPr>
        <w:t>5</w:t>
      </w:r>
      <w:r>
        <w:rPr>
          <w:spacing w:val="-4"/>
        </w:rPr>
        <w:t>种消防装备，开展实装操作和演练，系统验证其在不同装备条件下的高扬程远距离输送与射流性能，以及对典型外立面保温材料火灾的灭火效能，重点考察其垂直射高、水平射程、灭火效率和装备适配性，形成高层建筑外立面火灾灭火剂选型与应用模式，为</w:t>
      </w:r>
      <w:r>
        <w:rPr>
          <w:spacing w:val="-1"/>
        </w:rPr>
        <w:t>优选灭火剂在消防救援队伍推广应用提供示范。</w:t>
      </w:r>
    </w:p>
    <w:p w14:paraId="2004852B">
      <w:pPr>
        <w:spacing w:before="2" w:line="224"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（十一）项目组织方式与依据</w:t>
      </w:r>
    </w:p>
    <w:p w14:paraId="1EFA6319">
      <w:pPr>
        <w:pStyle w:val="2"/>
        <w:spacing w:before="220" w:line="370" w:lineRule="auto"/>
        <w:ind w:left="45" w:right="13" w:firstLine="539"/>
      </w:pPr>
      <w:r>
        <w:rPr>
          <w:spacing w:val="-4"/>
        </w:rPr>
        <w:t>本项目拟采取</w:t>
      </w:r>
      <w:r>
        <w:rPr>
          <w:rFonts w:hint="eastAsia"/>
          <w:spacing w:val="-4"/>
          <w:lang w:eastAsia="zh-CN"/>
        </w:rPr>
        <w:t>“揭榜挂帅”</w:t>
      </w:r>
      <w:r>
        <w:rPr>
          <w:spacing w:val="-4"/>
        </w:rPr>
        <w:t>方式组织实施，依据为《随州职业技术学</w:t>
      </w:r>
      <w:r>
        <w:rPr>
          <w:spacing w:val="-16"/>
        </w:rPr>
        <w:t>院</w:t>
      </w:r>
      <w:r>
        <w:rPr>
          <w:spacing w:val="37"/>
        </w:rPr>
        <w:t xml:space="preserve"> </w:t>
      </w:r>
      <w:r>
        <w:rPr>
          <w:spacing w:val="-16"/>
        </w:rPr>
        <w:t>院士工作站合作协议书》。</w:t>
      </w:r>
    </w:p>
    <w:p w14:paraId="77077A11">
      <w:pPr>
        <w:spacing w:line="296" w:lineRule="auto"/>
        <w:rPr>
          <w:rFonts w:ascii="Arial"/>
          <w:sz w:val="21"/>
        </w:rPr>
      </w:pPr>
    </w:p>
    <w:p w14:paraId="21DD76C3">
      <w:pPr>
        <w:spacing w:before="140" w:line="222" w:lineRule="auto"/>
        <w:ind w:left="467"/>
        <w:outlineLvl w:val="0"/>
        <w:rPr>
          <w:rFonts w:ascii="黑体" w:hAnsi="黑体" w:eastAsia="黑体" w:cs="黑体"/>
          <w:sz w:val="43"/>
          <w:szCs w:val="43"/>
        </w:rPr>
      </w:pPr>
      <w:r>
        <w:rPr>
          <w:rFonts w:ascii="黑体" w:hAnsi="黑体" w:eastAsia="黑体" w:cs="黑体"/>
          <w:spacing w:val="7"/>
          <w:sz w:val="43"/>
          <w:szCs w:val="43"/>
        </w:rPr>
        <w:t>四、高层建筑火灾内攻供液消防车研究</w:t>
      </w:r>
    </w:p>
    <w:p w14:paraId="002017DA">
      <w:pPr>
        <w:spacing w:before="323" w:line="223" w:lineRule="auto"/>
        <w:ind w:left="693"/>
        <w:outlineLvl w:val="1"/>
        <w:rPr>
          <w:rFonts w:ascii="楷体" w:hAnsi="楷体" w:eastAsia="楷体" w:cs="楷体"/>
          <w:sz w:val="31"/>
          <w:szCs w:val="31"/>
        </w:rPr>
      </w:pPr>
      <w:r>
        <w:rPr>
          <w:rFonts w:ascii="楷体" w:hAnsi="楷体" w:eastAsia="楷体" w:cs="楷体"/>
          <w:spacing w:val="7"/>
          <w:sz w:val="31"/>
          <w:szCs w:val="31"/>
        </w:rPr>
        <w:t>（一）所属研究方向及攻关任务</w:t>
      </w:r>
    </w:p>
    <w:p w14:paraId="2B92F221">
      <w:pPr>
        <w:pStyle w:val="2"/>
        <w:spacing w:before="238" w:line="214" w:lineRule="auto"/>
        <w:ind w:right="19"/>
        <w:jc w:val="right"/>
      </w:pPr>
      <w:r>
        <w:rPr>
          <w:spacing w:val="6"/>
        </w:rPr>
        <w:t>对应随州应急产业院士工作站高层建筑火灾高效灭火方法与灭</w:t>
      </w:r>
    </w:p>
    <w:p w14:paraId="41189FB2">
      <w:pPr>
        <w:spacing w:line="214" w:lineRule="auto"/>
        <w:sectPr>
          <w:pgSz w:w="11907" w:h="16839"/>
          <w:pgMar w:top="1431" w:right="1785" w:bottom="0" w:left="1785" w:header="0" w:footer="0" w:gutter="0"/>
          <w:cols w:space="720" w:num="1"/>
        </w:sectPr>
      </w:pPr>
    </w:p>
    <w:p w14:paraId="124815B0">
      <w:pPr>
        <w:pStyle w:val="2"/>
        <w:spacing w:before="233" w:line="215" w:lineRule="auto"/>
        <w:ind w:left="32"/>
      </w:pPr>
      <w:r>
        <w:rPr>
          <w:spacing w:val="-3"/>
        </w:rPr>
        <w:t>火装备研究中适配高层建筑的地面与空中灭火装备任务。</w:t>
      </w:r>
    </w:p>
    <w:p w14:paraId="4E69505C">
      <w:pPr>
        <w:spacing w:before="218" w:line="226" w:lineRule="auto"/>
        <w:ind w:left="693"/>
        <w:outlineLvl w:val="1"/>
        <w:rPr>
          <w:rFonts w:ascii="楷体" w:hAnsi="楷体" w:eastAsia="楷体" w:cs="楷体"/>
          <w:sz w:val="31"/>
          <w:szCs w:val="31"/>
        </w:rPr>
      </w:pPr>
      <w:r>
        <w:rPr>
          <w:rFonts w:ascii="楷体" w:hAnsi="楷体" w:eastAsia="楷体" w:cs="楷体"/>
          <w:spacing w:val="3"/>
          <w:sz w:val="31"/>
          <w:szCs w:val="31"/>
        </w:rPr>
        <w:t>（二）必要性</w:t>
      </w:r>
    </w:p>
    <w:p w14:paraId="25440741">
      <w:pPr>
        <w:pStyle w:val="2"/>
        <w:spacing w:before="229" w:line="383" w:lineRule="auto"/>
        <w:ind w:left="20" w:right="11" w:firstLine="576"/>
        <w:jc w:val="both"/>
      </w:pPr>
      <w:r>
        <w:rPr>
          <w:spacing w:val="-2"/>
        </w:rPr>
        <w:t>高层建筑室内火灾起火位置高，外部射流受建筑围护结构阻隔，</w:t>
      </w:r>
      <w:r>
        <w:rPr>
          <w:spacing w:val="-4"/>
        </w:rPr>
        <w:t>难以直接作用火点，消防员抵近内攻是灭火救援的重要手段。高扬程</w:t>
      </w:r>
      <w:r>
        <w:rPr>
          <w:spacing w:val="-3"/>
        </w:rPr>
        <w:t>供液能够克服建筑高差、实现远距离持续供液，</w:t>
      </w:r>
      <w:r>
        <w:rPr>
          <w:spacing w:val="-4"/>
        </w:rPr>
        <w:t>并同时保障多支水枪</w:t>
      </w:r>
      <w:r>
        <w:rPr>
          <w:spacing w:val="-3"/>
        </w:rPr>
        <w:t>作业，是支撑高层建筑内攻灭火的重要技术手段。内</w:t>
      </w:r>
      <w:r>
        <w:rPr>
          <w:spacing w:val="-4"/>
        </w:rPr>
        <w:t>攻供液消防车集灭火剂储存、混合、高扬程泵送和管路输送于一体，能够将高效水系</w:t>
      </w:r>
      <w:r>
        <w:rPr>
          <w:spacing w:val="-3"/>
        </w:rPr>
        <w:t>灭火剂持续输送至内攻阵地，展现出良好应用潜</w:t>
      </w:r>
      <w:r>
        <w:rPr>
          <w:spacing w:val="-4"/>
        </w:rPr>
        <w:t>力，但仍面临如下问</w:t>
      </w:r>
      <w:r>
        <w:rPr>
          <w:spacing w:val="-20"/>
        </w:rPr>
        <w:t>题：</w:t>
      </w:r>
    </w:p>
    <w:p w14:paraId="1A60A47E">
      <w:pPr>
        <w:pStyle w:val="2"/>
        <w:spacing w:before="2" w:line="369" w:lineRule="auto"/>
        <w:ind w:left="40" w:right="86" w:firstLine="565"/>
      </w:pPr>
      <w:r>
        <w:rPr>
          <w:rFonts w:ascii="Times New Roman" w:hAnsi="Times New Roman" w:eastAsia="Times New Roman" w:cs="Times New Roman"/>
        </w:rPr>
        <w:t>1</w:t>
      </w:r>
      <w:r>
        <w:t>）高扬程灭火方面，输送管路长、沿程压力损失显著，高扬程</w:t>
      </w:r>
      <w:r>
        <w:rPr>
          <w:spacing w:val="-2"/>
        </w:rPr>
        <w:t>与大流量难以兼顾，送得高时流量小，灭火效率低；</w:t>
      </w:r>
    </w:p>
    <w:p w14:paraId="74EE5026">
      <w:pPr>
        <w:pStyle w:val="2"/>
        <w:spacing w:before="40" w:line="378" w:lineRule="auto"/>
        <w:ind w:left="31" w:right="104" w:firstLine="548"/>
      </w:pPr>
      <w:r>
        <w:rPr>
          <w:rFonts w:ascii="Times New Roman" w:hAnsi="Times New Roman" w:eastAsia="Times New Roman" w:cs="Times New Roman"/>
          <w:spacing w:val="1"/>
        </w:rPr>
        <w:t>2</w:t>
      </w:r>
      <w:r>
        <w:rPr>
          <w:spacing w:val="1"/>
        </w:rPr>
        <w:t>）均质混合方面，不同工况下供水流量变化范</w:t>
      </w:r>
      <w:r>
        <w:t>围宽，灭火剂原</w:t>
      </w:r>
      <w:r>
        <w:rPr>
          <w:spacing w:val="-4"/>
        </w:rPr>
        <w:t>液流量需按设定混合比同步调节，全流量范</w:t>
      </w:r>
      <w:r>
        <w:rPr>
          <w:spacing w:val="-5"/>
        </w:rPr>
        <w:t>围内实现精准计量难，混</w:t>
      </w:r>
      <w:r>
        <w:rPr>
          <w:spacing w:val="-20"/>
        </w:rPr>
        <w:t>不匀；</w:t>
      </w:r>
    </w:p>
    <w:p w14:paraId="36B7F2ED">
      <w:pPr>
        <w:pStyle w:val="2"/>
        <w:spacing w:before="19" w:line="371" w:lineRule="auto"/>
        <w:ind w:left="25" w:firstLine="559"/>
      </w:pPr>
      <w:r>
        <w:rPr>
          <w:rFonts w:ascii="Times New Roman" w:hAnsi="Times New Roman" w:eastAsia="Times New Roman" w:cs="Times New Roman"/>
          <w:spacing w:val="-9"/>
        </w:rPr>
        <w:t>3</w:t>
      </w:r>
      <w:r>
        <w:rPr>
          <w:spacing w:val="-9"/>
        </w:rPr>
        <w:t>）装备集成方面，灭火剂储存计量、均质混合、高压泵送、分路</w:t>
      </w:r>
      <w:r>
        <w:rPr>
          <w:spacing w:val="-1"/>
        </w:rPr>
        <w:t>调压和安全保护等系统参数匹配与协同控制困难，整车集成度不足。</w:t>
      </w:r>
    </w:p>
    <w:p w14:paraId="11F7EE69">
      <w:pPr>
        <w:pStyle w:val="2"/>
        <w:spacing w:before="34" w:line="375" w:lineRule="auto"/>
        <w:ind w:left="26" w:right="3" w:firstLine="591"/>
        <w:jc w:val="both"/>
      </w:pPr>
      <w:r>
        <w:rPr>
          <w:spacing w:val="-2"/>
        </w:rPr>
        <w:t>因此，</w:t>
      </w:r>
      <w:r>
        <w:rPr>
          <w:rFonts w:hint="eastAsia"/>
          <w:spacing w:val="-2"/>
          <w:lang w:eastAsia="zh-CN"/>
        </w:rPr>
        <w:t>亟须</w:t>
      </w:r>
      <w:r>
        <w:rPr>
          <w:spacing w:val="-2"/>
        </w:rPr>
        <w:t>突破泵</w:t>
      </w:r>
      <w:r>
        <w:rPr>
          <w:rFonts w:hint="eastAsia"/>
          <w:spacing w:val="-2"/>
          <w:lang w:eastAsia="zh-CN"/>
        </w:rPr>
        <w:t>－</w:t>
      </w:r>
      <w:r>
        <w:rPr>
          <w:spacing w:val="-2"/>
        </w:rPr>
        <w:t>灭火剂</w:t>
      </w:r>
      <w:r>
        <w:rPr>
          <w:rFonts w:hint="eastAsia"/>
          <w:spacing w:val="-2"/>
          <w:lang w:eastAsia="zh-CN"/>
        </w:rPr>
        <w:t>－</w:t>
      </w:r>
      <w:r>
        <w:rPr>
          <w:spacing w:val="-2"/>
        </w:rPr>
        <w:t>管路高扬程减阻输送、灭火剂与水均</w:t>
      </w:r>
      <w:r>
        <w:rPr>
          <w:spacing w:val="-1"/>
        </w:rPr>
        <w:t>质混合和整车系统集成等关键技术，研制高层建筑内攻供液消防车，为高层建筑内攻灭火提供装备支撑。</w:t>
      </w:r>
    </w:p>
    <w:p w14:paraId="68B4222E">
      <w:pPr>
        <w:spacing w:before="2" w:line="222" w:lineRule="auto"/>
        <w:ind w:left="693"/>
        <w:outlineLvl w:val="1"/>
        <w:rPr>
          <w:rFonts w:ascii="楷体" w:hAnsi="楷体" w:eastAsia="楷体" w:cs="楷体"/>
          <w:sz w:val="31"/>
          <w:szCs w:val="31"/>
        </w:rPr>
      </w:pPr>
      <w:r>
        <w:rPr>
          <w:rFonts w:ascii="楷体" w:hAnsi="楷体" w:eastAsia="楷体" w:cs="楷体"/>
          <w:spacing w:val="3"/>
          <w:sz w:val="31"/>
          <w:szCs w:val="31"/>
        </w:rPr>
        <w:t>（三）研究内容</w:t>
      </w:r>
    </w:p>
    <w:p w14:paraId="30DFF208">
      <w:pPr>
        <w:pStyle w:val="2"/>
        <w:spacing w:before="240" w:line="382" w:lineRule="auto"/>
        <w:ind w:left="32" w:right="85" w:firstLine="547"/>
      </w:pPr>
      <w:r>
        <w:rPr>
          <w:spacing w:val="-4"/>
        </w:rPr>
        <w:t>针对高层建筑室内火灾内攻高扬程灭火、持续供液需求，开展高</w:t>
      </w:r>
      <w:r>
        <w:rPr>
          <w:spacing w:val="-3"/>
        </w:rPr>
        <w:t>层建筑内攻供液消防车关键技术研究，具体包括：</w:t>
      </w:r>
    </w:p>
    <w:p w14:paraId="7CFF2B80">
      <w:pPr>
        <w:pStyle w:val="2"/>
        <w:spacing w:before="2" w:line="371" w:lineRule="auto"/>
        <w:ind w:left="17" w:right="83" w:firstLine="588"/>
      </w:pPr>
      <w:r>
        <w:rPr>
          <w:rFonts w:ascii="Times New Roman" w:hAnsi="Times New Roman" w:eastAsia="Times New Roman" w:cs="Times New Roman"/>
          <w:spacing w:val="4"/>
        </w:rPr>
        <w:t>1</w:t>
      </w:r>
      <w:r>
        <w:rPr>
          <w:spacing w:val="4"/>
        </w:rPr>
        <w:t>）泵</w:t>
      </w:r>
      <w:r>
        <w:rPr>
          <w:rFonts w:hint="eastAsia"/>
          <w:spacing w:val="4"/>
          <w:lang w:eastAsia="zh-CN"/>
        </w:rPr>
        <w:t>－</w:t>
      </w:r>
      <w:r>
        <w:rPr>
          <w:spacing w:val="4"/>
        </w:rPr>
        <w:t>灭火剂</w:t>
      </w:r>
      <w:r>
        <w:rPr>
          <w:rFonts w:hint="eastAsia"/>
          <w:spacing w:val="4"/>
          <w:lang w:eastAsia="zh-CN"/>
        </w:rPr>
        <w:t>－</w:t>
      </w:r>
      <w:r>
        <w:rPr>
          <w:spacing w:val="4"/>
        </w:rPr>
        <w:t>外部管路协同低阻耗高扬程小</w:t>
      </w:r>
      <w:r>
        <w:rPr>
          <w:spacing w:val="3"/>
        </w:rPr>
        <w:t>流量高效灭火方法</w:t>
      </w:r>
      <w:r>
        <w:rPr>
          <w:spacing w:val="-17"/>
        </w:rPr>
        <w:t>研究；</w:t>
      </w:r>
    </w:p>
    <w:p w14:paraId="47483CC3">
      <w:pPr>
        <w:spacing w:line="371" w:lineRule="auto"/>
        <w:sectPr>
          <w:pgSz w:w="11907" w:h="16839"/>
          <w:pgMar w:top="1431" w:right="1714" w:bottom="0" w:left="1785" w:header="0" w:footer="0" w:gutter="0"/>
          <w:cols w:space="720" w:num="1"/>
        </w:sectPr>
      </w:pPr>
    </w:p>
    <w:p w14:paraId="3DFE8DA9">
      <w:pPr>
        <w:pStyle w:val="2"/>
        <w:spacing w:before="233" w:line="229" w:lineRule="auto"/>
        <w:ind w:left="579"/>
      </w:pPr>
      <w:r>
        <w:rPr>
          <w:rFonts w:ascii="Times New Roman" w:hAnsi="Times New Roman" w:eastAsia="Times New Roman" w:cs="Times New Roman"/>
          <w:spacing w:val="-4"/>
        </w:rPr>
        <w:t>2</w:t>
      </w:r>
      <w:r>
        <w:rPr>
          <w:spacing w:val="-4"/>
        </w:rPr>
        <w:t>）车载灭火剂均质混合技术研究；</w:t>
      </w:r>
    </w:p>
    <w:p w14:paraId="55DE9002">
      <w:pPr>
        <w:pStyle w:val="2"/>
        <w:spacing w:before="231" w:line="231" w:lineRule="auto"/>
        <w:ind w:left="585"/>
      </w:pPr>
      <w:r>
        <w:rPr>
          <w:rFonts w:ascii="Times New Roman" w:hAnsi="Times New Roman" w:eastAsia="Times New Roman" w:cs="Times New Roman"/>
          <w:spacing w:val="-4"/>
        </w:rPr>
        <w:t>3</w:t>
      </w:r>
      <w:r>
        <w:rPr>
          <w:spacing w:val="-4"/>
        </w:rPr>
        <w:t>）整车研制与示范应用。</w:t>
      </w:r>
    </w:p>
    <w:p w14:paraId="5316B208">
      <w:pPr>
        <w:spacing w:before="197" w:line="225" w:lineRule="auto"/>
        <w:ind w:left="693"/>
        <w:outlineLvl w:val="1"/>
        <w:rPr>
          <w:rFonts w:ascii="楷体" w:hAnsi="楷体" w:eastAsia="楷体" w:cs="楷体"/>
          <w:sz w:val="31"/>
          <w:szCs w:val="31"/>
        </w:rPr>
      </w:pPr>
      <w:r>
        <w:rPr>
          <w:rFonts w:ascii="楷体" w:hAnsi="楷体" w:eastAsia="楷体" w:cs="楷体"/>
          <w:spacing w:val="4"/>
          <w:sz w:val="31"/>
          <w:szCs w:val="31"/>
        </w:rPr>
        <w:t>（四）考核指标</w:t>
      </w:r>
    </w:p>
    <w:p w14:paraId="5AEC56E6">
      <w:pPr>
        <w:pStyle w:val="2"/>
        <w:spacing w:before="236" w:line="380" w:lineRule="auto"/>
        <w:ind w:left="40" w:right="128" w:firstLine="565"/>
      </w:pPr>
      <w:r>
        <w:rPr>
          <w:rFonts w:ascii="Times New Roman" w:hAnsi="Times New Roman" w:eastAsia="Times New Roman" w:cs="Times New Roman"/>
          <w:spacing w:val="-11"/>
        </w:rPr>
        <w:t>1</w:t>
      </w:r>
      <w:r>
        <w:rPr>
          <w:spacing w:val="-11"/>
        </w:rPr>
        <w:t>）添加灭火剂后，垂直输送高度≥</w:t>
      </w:r>
      <w:r>
        <w:rPr>
          <w:rFonts w:ascii="Times New Roman" w:hAnsi="Times New Roman" w:eastAsia="Times New Roman" w:cs="Times New Roman"/>
          <w:spacing w:val="-11"/>
        </w:rPr>
        <w:t>500m</w:t>
      </w:r>
      <w:r>
        <w:rPr>
          <w:spacing w:val="-11"/>
        </w:rPr>
        <w:t>，出口流量≥</w:t>
      </w:r>
      <w:r>
        <w:rPr>
          <w:rFonts w:ascii="Times New Roman" w:hAnsi="Times New Roman" w:eastAsia="Times New Roman" w:cs="Times New Roman"/>
          <w:spacing w:val="-11"/>
        </w:rPr>
        <w:t>360L</w:t>
      </w:r>
      <w:r>
        <w:rPr>
          <w:rFonts w:ascii="Times New Roman" w:hAnsi="Times New Roman" w:eastAsia="Times New Roman" w:cs="Times New Roman"/>
          <w:spacing w:val="-12"/>
        </w:rPr>
        <w:t>/min</w:t>
      </w:r>
      <w:r>
        <w:rPr>
          <w:spacing w:val="-12"/>
        </w:rPr>
        <w:t>，</w:t>
      </w:r>
      <w:r>
        <w:rPr>
          <w:spacing w:val="-5"/>
        </w:rPr>
        <w:t>非静压损失较水降低</w:t>
      </w:r>
      <w:r>
        <w:rPr>
          <w:rFonts w:ascii="Times New Roman" w:hAnsi="Times New Roman" w:eastAsia="Times New Roman" w:cs="Times New Roman"/>
          <w:spacing w:val="-5"/>
        </w:rPr>
        <w:t>10%</w:t>
      </w:r>
      <w:r>
        <w:rPr>
          <w:spacing w:val="-5"/>
        </w:rPr>
        <w:t>；</w:t>
      </w:r>
    </w:p>
    <w:p w14:paraId="1E03FE26">
      <w:pPr>
        <w:pStyle w:val="2"/>
        <w:spacing w:before="6" w:line="230" w:lineRule="auto"/>
        <w:ind w:left="579"/>
      </w:pPr>
      <w:r>
        <w:rPr>
          <w:rFonts w:ascii="Times New Roman" w:hAnsi="Times New Roman" w:eastAsia="Times New Roman" w:cs="Times New Roman"/>
          <w:spacing w:val="-2"/>
        </w:rPr>
        <w:t>2</w:t>
      </w:r>
      <w:r>
        <w:rPr>
          <w:spacing w:val="-2"/>
        </w:rPr>
        <w:t>）混合比</w:t>
      </w:r>
      <w:r>
        <w:rPr>
          <w:rFonts w:ascii="Times New Roman" w:hAnsi="Times New Roman" w:eastAsia="Times New Roman" w:cs="Times New Roman"/>
          <w:spacing w:val="-2"/>
        </w:rPr>
        <w:t>3%</w:t>
      </w:r>
      <w:r>
        <w:rPr>
          <w:spacing w:val="-2"/>
        </w:rPr>
        <w:t>～</w:t>
      </w:r>
      <w:r>
        <w:rPr>
          <w:rFonts w:ascii="Times New Roman" w:hAnsi="Times New Roman" w:eastAsia="Times New Roman" w:cs="Times New Roman"/>
          <w:spacing w:val="-2"/>
        </w:rPr>
        <w:t>6%</w:t>
      </w:r>
      <w:r>
        <w:rPr>
          <w:spacing w:val="-2"/>
        </w:rPr>
        <w:t>可调；</w:t>
      </w:r>
    </w:p>
    <w:p w14:paraId="76E04104">
      <w:pPr>
        <w:pStyle w:val="2"/>
        <w:spacing w:before="233" w:line="371" w:lineRule="auto"/>
        <w:ind w:left="36" w:right="130" w:firstLine="548"/>
      </w:pPr>
      <w:r>
        <w:rPr>
          <w:rFonts w:ascii="Times New Roman" w:hAnsi="Times New Roman" w:eastAsia="Times New Roman" w:cs="Times New Roman"/>
          <w:spacing w:val="-17"/>
        </w:rPr>
        <w:t>3</w:t>
      </w:r>
      <w:r>
        <w:rPr>
          <w:spacing w:val="-17"/>
        </w:rPr>
        <w:t>）形成样车研制方案报告</w:t>
      </w:r>
      <w:r>
        <w:rPr>
          <w:rFonts w:ascii="Times New Roman" w:hAnsi="Times New Roman" w:eastAsia="Times New Roman" w:cs="Times New Roman"/>
          <w:spacing w:val="-17"/>
        </w:rPr>
        <w:t>1</w:t>
      </w:r>
      <w:r>
        <w:rPr>
          <w:spacing w:val="-17"/>
        </w:rPr>
        <w:t>份，研制样车</w:t>
      </w:r>
      <w:r>
        <w:rPr>
          <w:rFonts w:ascii="Times New Roman" w:hAnsi="Times New Roman" w:eastAsia="Times New Roman" w:cs="Times New Roman"/>
          <w:spacing w:val="-17"/>
        </w:rPr>
        <w:t>1</w:t>
      </w:r>
      <w:r>
        <w:rPr>
          <w:spacing w:val="-17"/>
        </w:rPr>
        <w:t>台，水箱容积≥</w:t>
      </w:r>
      <w:r>
        <w:rPr>
          <w:spacing w:val="-108"/>
        </w:rPr>
        <w:t xml:space="preserve"> </w:t>
      </w:r>
      <w:r>
        <w:rPr>
          <w:rFonts w:ascii="Times New Roman" w:hAnsi="Times New Roman" w:eastAsia="Times New Roman" w:cs="Times New Roman"/>
          <w:spacing w:val="-17"/>
        </w:rPr>
        <w:t>13m</w:t>
      </w:r>
      <w:r>
        <w:rPr>
          <w:rFonts w:ascii="Times New Roman" w:hAnsi="Times New Roman" w:eastAsia="Times New Roman" w:cs="Times New Roman"/>
          <w:spacing w:val="2"/>
          <w:position w:val="9"/>
          <w:sz w:val="18"/>
          <w:szCs w:val="18"/>
        </w:rPr>
        <w:t>3</w:t>
      </w:r>
      <w:r>
        <w:rPr>
          <w:spacing w:val="-62"/>
        </w:rPr>
        <w:t>，</w:t>
      </w:r>
      <w:r>
        <w:rPr>
          <w:spacing w:val="-2"/>
        </w:rPr>
        <w:t>灭火剂箱容积≥</w:t>
      </w:r>
      <w:r>
        <w:rPr>
          <w:rFonts w:ascii="Times New Roman" w:hAnsi="Times New Roman" w:eastAsia="Times New Roman" w:cs="Times New Roman"/>
          <w:spacing w:val="-2"/>
        </w:rPr>
        <w:t>5m</w:t>
      </w:r>
      <w:r>
        <w:rPr>
          <w:rFonts w:ascii="Times New Roman" w:hAnsi="Times New Roman" w:eastAsia="Times New Roman" w:cs="Times New Roman"/>
          <w:spacing w:val="-2"/>
          <w:position w:val="9"/>
          <w:sz w:val="18"/>
          <w:szCs w:val="18"/>
        </w:rPr>
        <w:t>3</w:t>
      </w:r>
      <w:r>
        <w:rPr>
          <w:spacing w:val="-2"/>
        </w:rPr>
        <w:t>。</w:t>
      </w:r>
    </w:p>
    <w:p w14:paraId="7093BCB5">
      <w:pPr>
        <w:spacing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4610017F">
      <w:pPr>
        <w:pStyle w:val="2"/>
        <w:spacing w:before="231" w:line="380" w:lineRule="auto"/>
        <w:ind w:left="37" w:right="64" w:firstLine="568"/>
      </w:pPr>
      <w:r>
        <w:rPr>
          <w:rFonts w:ascii="Times New Roman" w:hAnsi="Times New Roman" w:eastAsia="Times New Roman" w:cs="Times New Roman"/>
          <w:spacing w:val="-1"/>
        </w:rPr>
        <w:t>1</w:t>
      </w:r>
      <w:r>
        <w:rPr>
          <w:spacing w:val="-1"/>
        </w:rPr>
        <w:t>）相同泵组</w:t>
      </w:r>
      <w:r>
        <w:rPr>
          <w:rFonts w:hint="eastAsia"/>
          <w:spacing w:val="-1"/>
          <w:lang w:eastAsia="zh-CN"/>
        </w:rPr>
        <w:t>（</w:t>
      </w:r>
      <w:r>
        <w:rPr>
          <w:spacing w:val="-1"/>
        </w:rPr>
        <w:t>≥</w:t>
      </w:r>
      <w:r>
        <w:rPr>
          <w:rFonts w:ascii="Times New Roman" w:hAnsi="Times New Roman" w:eastAsia="Times New Roman" w:cs="Times New Roman"/>
          <w:spacing w:val="-1"/>
        </w:rPr>
        <w:t>6MPa</w:t>
      </w:r>
      <w:r>
        <w:rPr>
          <w:spacing w:val="-1"/>
        </w:rPr>
        <w:t>输送压力）和水带输送方式下，垂直输送</w:t>
      </w:r>
      <w:r>
        <w:rPr>
          <w:spacing w:val="-3"/>
        </w:rPr>
        <w:t>高度由</w:t>
      </w:r>
      <w:r>
        <w:rPr>
          <w:rFonts w:ascii="Times New Roman" w:hAnsi="Times New Roman" w:eastAsia="Times New Roman" w:cs="Times New Roman"/>
          <w:spacing w:val="-3"/>
        </w:rPr>
        <w:t>475m</w:t>
      </w:r>
      <w:r>
        <w:rPr>
          <w:spacing w:val="-3"/>
        </w:rPr>
        <w:t>提升至</w:t>
      </w:r>
      <w:r>
        <w:rPr>
          <w:rFonts w:ascii="Times New Roman" w:hAnsi="Times New Roman" w:eastAsia="Times New Roman" w:cs="Times New Roman"/>
          <w:spacing w:val="-3"/>
        </w:rPr>
        <w:t>≥500m</w:t>
      </w:r>
      <w:r>
        <w:rPr>
          <w:rFonts w:ascii="Times New Roman" w:hAnsi="Times New Roman" w:eastAsia="Times New Roman" w:cs="Times New Roman"/>
          <w:spacing w:val="-31"/>
        </w:rPr>
        <w:t xml:space="preserve"> </w:t>
      </w:r>
      <w:r>
        <w:rPr>
          <w:spacing w:val="-3"/>
        </w:rPr>
        <w:t>，非静压损失较纯水降低</w:t>
      </w:r>
      <w:r>
        <w:rPr>
          <w:rFonts w:ascii="Times New Roman" w:hAnsi="Times New Roman" w:eastAsia="Times New Roman" w:cs="Times New Roman"/>
          <w:spacing w:val="-4"/>
        </w:rPr>
        <w:t>10%</w:t>
      </w:r>
      <w:r>
        <w:rPr>
          <w:spacing w:val="-4"/>
        </w:rPr>
        <w:t>；</w:t>
      </w:r>
    </w:p>
    <w:p w14:paraId="60689888">
      <w:pPr>
        <w:pStyle w:val="2"/>
        <w:spacing w:before="7" w:line="230" w:lineRule="auto"/>
        <w:ind w:left="579"/>
      </w:pPr>
      <w:r>
        <w:rPr>
          <w:rFonts w:ascii="Times New Roman" w:hAnsi="Times New Roman" w:eastAsia="Times New Roman" w:cs="Times New Roman"/>
        </w:rPr>
        <w:t>2</w:t>
      </w:r>
      <w:r>
        <w:t>）混合比由固定比例提升至</w:t>
      </w:r>
      <w:r>
        <w:rPr>
          <w:rFonts w:ascii="Times New Roman" w:hAnsi="Times New Roman" w:eastAsia="Times New Roman" w:cs="Times New Roman"/>
        </w:rPr>
        <w:t>3%</w:t>
      </w:r>
      <w:r>
        <w:t>～</w:t>
      </w:r>
      <w:r>
        <w:rPr>
          <w:rFonts w:ascii="Times New Roman" w:hAnsi="Times New Roman" w:eastAsia="Times New Roman" w:cs="Times New Roman"/>
        </w:rPr>
        <w:t>6%</w:t>
      </w:r>
      <w:r>
        <w:t>可调（</w:t>
      </w:r>
      <w:r>
        <w:rPr>
          <w:rFonts w:ascii="Times New Roman" w:hAnsi="Times New Roman" w:eastAsia="Times New Roman" w:cs="Times New Roman"/>
          <w:spacing w:val="-1"/>
        </w:rPr>
        <w:t>GB 20031-2024</w:t>
      </w:r>
      <w:r>
        <w:rPr>
          <w:spacing w:val="-70"/>
        </w:rPr>
        <w:t>）；</w:t>
      </w:r>
    </w:p>
    <w:p w14:paraId="084AA4A8">
      <w:pPr>
        <w:pStyle w:val="2"/>
        <w:spacing w:before="234" w:line="375" w:lineRule="auto"/>
        <w:ind w:left="17" w:firstLine="567"/>
      </w:pPr>
      <w:r>
        <w:rPr>
          <w:rFonts w:ascii="Times New Roman" w:hAnsi="Times New Roman" w:eastAsia="Times New Roman" w:cs="Times New Roman"/>
          <w:spacing w:val="1"/>
        </w:rPr>
        <w:t>3</w:t>
      </w:r>
      <w:r>
        <w:rPr>
          <w:spacing w:val="1"/>
        </w:rPr>
        <w:t>）整车研制方案应明确研制目标、主要技术指标、整车总体布</w:t>
      </w:r>
      <w:r>
        <w:rPr>
          <w:spacing w:val="-1"/>
        </w:rPr>
        <w:t>局、关键系统设计与匹配、整车集成以及样车试制与试验验证方案；形成高扬程、宽比例混合一体化样车。</w:t>
      </w:r>
    </w:p>
    <w:p w14:paraId="6C30691B">
      <w:pPr>
        <w:spacing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5499B90A">
      <w:pPr>
        <w:pStyle w:val="2"/>
        <w:spacing w:before="225" w:line="215" w:lineRule="auto"/>
        <w:ind w:left="624"/>
      </w:pPr>
      <w:r>
        <w:rPr>
          <w:spacing w:val="-2"/>
        </w:rPr>
        <w:t>内攻灭火；高扬程供液；灭火剂减阻输送；宽流量均质</w:t>
      </w:r>
      <w:r>
        <w:rPr>
          <w:spacing w:val="-3"/>
        </w:rPr>
        <w:t>混合</w:t>
      </w:r>
    </w:p>
    <w:p w14:paraId="38E00414">
      <w:pPr>
        <w:spacing w:before="222" w:line="231"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674B4E87">
      <w:pPr>
        <w:pStyle w:val="2"/>
        <w:spacing w:before="210" w:line="214" w:lineRule="auto"/>
        <w:ind w:left="596"/>
      </w:pPr>
      <w:r>
        <w:rPr>
          <w:spacing w:val="-3"/>
        </w:rPr>
        <w:t>重大技术装备类。</w:t>
      </w:r>
    </w:p>
    <w:p w14:paraId="041CE81B">
      <w:pPr>
        <w:spacing w:before="218" w:line="223" w:lineRule="auto"/>
        <w:ind w:left="693"/>
        <w:outlineLvl w:val="1"/>
        <w:rPr>
          <w:rFonts w:ascii="楷体" w:hAnsi="楷体" w:eastAsia="楷体" w:cs="楷体"/>
          <w:sz w:val="31"/>
          <w:szCs w:val="31"/>
        </w:rPr>
      </w:pPr>
      <w:r>
        <w:rPr>
          <w:rFonts w:ascii="楷体" w:hAnsi="楷体" w:eastAsia="楷体" w:cs="楷体"/>
          <w:spacing w:val="4"/>
          <w:sz w:val="31"/>
          <w:szCs w:val="31"/>
        </w:rPr>
        <w:t>（八）实施年限</w:t>
      </w:r>
    </w:p>
    <w:p w14:paraId="2603C683">
      <w:pPr>
        <w:pStyle w:val="2"/>
        <w:spacing w:before="239"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17CC056C">
      <w:pPr>
        <w:spacing w:before="195" w:line="225" w:lineRule="auto"/>
        <w:ind w:left="693"/>
        <w:outlineLvl w:val="1"/>
        <w:rPr>
          <w:rFonts w:ascii="楷体" w:hAnsi="楷体" w:eastAsia="楷体" w:cs="楷体"/>
          <w:sz w:val="31"/>
          <w:szCs w:val="31"/>
        </w:rPr>
      </w:pPr>
      <w:r>
        <w:rPr>
          <w:rFonts w:ascii="楷体" w:hAnsi="楷体" w:eastAsia="楷体" w:cs="楷体"/>
          <w:spacing w:val="4"/>
          <w:sz w:val="31"/>
          <w:szCs w:val="31"/>
        </w:rPr>
        <w:t>（九）建议支持项目数</w:t>
      </w:r>
    </w:p>
    <w:p w14:paraId="5435DF23">
      <w:pPr>
        <w:pStyle w:val="2"/>
        <w:spacing w:before="221" w:line="232" w:lineRule="auto"/>
        <w:ind w:left="606"/>
      </w:pPr>
      <w:r>
        <w:rPr>
          <w:rFonts w:ascii="Times New Roman" w:hAnsi="Times New Roman" w:eastAsia="Times New Roman" w:cs="Times New Roman"/>
          <w:spacing w:val="-23"/>
        </w:rPr>
        <w:t>1</w:t>
      </w:r>
      <w:r>
        <w:rPr>
          <w:spacing w:val="-23"/>
        </w:rPr>
        <w:t>项。</w:t>
      </w:r>
    </w:p>
    <w:p w14:paraId="6AA6B8F9">
      <w:pPr>
        <w:spacing w:before="190"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79BD2AF3">
      <w:pPr>
        <w:spacing w:line="227" w:lineRule="auto"/>
        <w:rPr>
          <w:rFonts w:ascii="楷体" w:hAnsi="楷体" w:eastAsia="楷体" w:cs="楷体"/>
          <w:sz w:val="31"/>
          <w:szCs w:val="31"/>
        </w:rPr>
        <w:sectPr>
          <w:pgSz w:w="11907" w:h="16839"/>
          <w:pgMar w:top="1431" w:right="1731" w:bottom="0" w:left="1785" w:header="0" w:footer="0" w:gutter="0"/>
          <w:cols w:space="720" w:num="1"/>
        </w:sectPr>
      </w:pPr>
    </w:p>
    <w:p w14:paraId="264F2730">
      <w:pPr>
        <w:pStyle w:val="2"/>
        <w:spacing w:before="235" w:line="379" w:lineRule="auto"/>
        <w:ind w:left="20" w:right="81" w:firstLine="567"/>
        <w:jc w:val="both"/>
      </w:pPr>
      <w:r>
        <w:rPr>
          <w:spacing w:val="-6"/>
        </w:rPr>
        <w:t>选择不少于</w:t>
      </w:r>
      <w:r>
        <w:rPr>
          <w:rFonts w:ascii="Times New Roman" w:hAnsi="Times New Roman" w:eastAsia="Times New Roman" w:cs="Times New Roman"/>
          <w:spacing w:val="-6"/>
        </w:rPr>
        <w:t>1</w:t>
      </w:r>
      <w:r>
        <w:rPr>
          <w:spacing w:val="-6"/>
        </w:rPr>
        <w:t>支消防救援支队作为应用验证单位，将样车纳入日</w:t>
      </w:r>
      <w:r>
        <w:rPr>
          <w:spacing w:val="-3"/>
        </w:rPr>
        <w:t>常训练和实装操法，围绕高扬程灭火、宽流</w:t>
      </w:r>
      <w:r>
        <w:rPr>
          <w:spacing w:val="-4"/>
        </w:rPr>
        <w:t>量混合、多分路协同供液等典型工况，组织不少于</w:t>
      </w:r>
      <w:r>
        <w:rPr>
          <w:rFonts w:ascii="Times New Roman" w:hAnsi="Times New Roman" w:eastAsia="Times New Roman" w:cs="Times New Roman"/>
          <w:spacing w:val="-4"/>
        </w:rPr>
        <w:t>3</w:t>
      </w:r>
      <w:r>
        <w:rPr>
          <w:spacing w:val="-4"/>
        </w:rPr>
        <w:t>次演练，全面考核车辆</w:t>
      </w:r>
      <w:r>
        <w:rPr>
          <w:spacing w:val="-5"/>
        </w:rPr>
        <w:t>在复杂作业条件下</w:t>
      </w:r>
      <w:r>
        <w:rPr>
          <w:spacing w:val="-3"/>
        </w:rPr>
        <w:t>的灭火性能、供液能力、运行稳定性和操作适应性。在</w:t>
      </w:r>
      <w:r>
        <w:rPr>
          <w:spacing w:val="-4"/>
        </w:rPr>
        <w:t>此基础上，完善装备操作规程和实战应用方案，建设高层建筑内攻供液装备示范样</w:t>
      </w:r>
      <w:r>
        <w:rPr>
          <w:spacing w:val="-3"/>
        </w:rPr>
        <w:t>板，带动随州消防装备提质升级，服务湖北高层</w:t>
      </w:r>
      <w:r>
        <w:rPr>
          <w:spacing w:val="-4"/>
        </w:rPr>
        <w:t>建筑消防救援能力建</w:t>
      </w:r>
      <w:r>
        <w:rPr>
          <w:spacing w:val="-1"/>
        </w:rPr>
        <w:t>设，推动相关技术与装备面向全国应用。</w:t>
      </w:r>
    </w:p>
    <w:p w14:paraId="28347D85">
      <w:pPr>
        <w:spacing w:before="1" w:line="228"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（十一）项目组织方式及依据</w:t>
      </w:r>
    </w:p>
    <w:p w14:paraId="2F2A00FD">
      <w:pPr>
        <w:pStyle w:val="2"/>
        <w:spacing w:before="212" w:line="370" w:lineRule="auto"/>
        <w:ind w:left="40" w:right="80" w:firstLine="536"/>
        <w:jc w:val="both"/>
      </w:pPr>
      <w:r>
        <w:rPr>
          <w:spacing w:val="-4"/>
        </w:rPr>
        <w:t>研制单位中要有注册在随州的消防车企业，本项目拟采取揭榜挂</w:t>
      </w:r>
      <w:r>
        <w:rPr>
          <w:spacing w:val="-1"/>
        </w:rPr>
        <w:t>帅方式组织实施，依据为《随州职业技术学院</w:t>
      </w:r>
      <w:r>
        <w:rPr>
          <w:spacing w:val="53"/>
        </w:rPr>
        <w:t xml:space="preserve"> </w:t>
      </w:r>
      <w:r>
        <w:rPr>
          <w:spacing w:val="-1"/>
        </w:rPr>
        <w:t>院士工作站合作协议</w:t>
      </w:r>
      <w:r>
        <w:rPr>
          <w:spacing w:val="-49"/>
          <w:w w:val="97"/>
        </w:rPr>
        <w:t>书》。</w:t>
      </w:r>
    </w:p>
    <w:p w14:paraId="4C526F1A">
      <w:pPr>
        <w:spacing w:line="295" w:lineRule="auto"/>
        <w:rPr>
          <w:rFonts w:ascii="Arial"/>
          <w:sz w:val="21"/>
        </w:rPr>
      </w:pPr>
    </w:p>
    <w:p w14:paraId="576D3E4E">
      <w:pPr>
        <w:spacing w:before="140" w:line="222" w:lineRule="auto"/>
        <w:ind w:left="235"/>
        <w:outlineLvl w:val="0"/>
        <w:rPr>
          <w:rFonts w:ascii="黑体" w:hAnsi="黑体" w:eastAsia="黑体" w:cs="黑体"/>
          <w:sz w:val="43"/>
          <w:szCs w:val="43"/>
        </w:rPr>
      </w:pPr>
      <w:r>
        <w:rPr>
          <w:rFonts w:ascii="黑体" w:hAnsi="黑体" w:eastAsia="黑体" w:cs="黑体"/>
          <w:spacing w:val="8"/>
          <w:sz w:val="43"/>
          <w:szCs w:val="43"/>
        </w:rPr>
        <w:t>五、无支腿无臂架高扬程大流量灭火救援</w:t>
      </w:r>
    </w:p>
    <w:p w14:paraId="53B42F28">
      <w:pPr>
        <w:spacing w:before="63" w:line="223" w:lineRule="auto"/>
        <w:ind w:left="3096"/>
        <w:outlineLvl w:val="0"/>
        <w:rPr>
          <w:rFonts w:ascii="黑体" w:hAnsi="黑体" w:eastAsia="黑体" w:cs="黑体"/>
          <w:sz w:val="43"/>
          <w:szCs w:val="43"/>
        </w:rPr>
      </w:pPr>
      <w:r>
        <w:rPr>
          <w:rFonts w:ascii="黑体" w:hAnsi="黑体" w:eastAsia="黑体" w:cs="黑体"/>
          <w:spacing w:val="3"/>
          <w:sz w:val="43"/>
          <w:szCs w:val="43"/>
        </w:rPr>
        <w:t>高炮车研究</w:t>
      </w:r>
    </w:p>
    <w:p w14:paraId="2C1A9213">
      <w:pPr>
        <w:spacing w:before="320" w:line="223" w:lineRule="auto"/>
        <w:ind w:left="693"/>
        <w:outlineLvl w:val="1"/>
        <w:rPr>
          <w:rFonts w:ascii="楷体" w:hAnsi="楷体" w:eastAsia="楷体" w:cs="楷体"/>
          <w:sz w:val="31"/>
          <w:szCs w:val="31"/>
        </w:rPr>
      </w:pPr>
      <w:r>
        <w:rPr>
          <w:rFonts w:ascii="楷体" w:hAnsi="楷体" w:eastAsia="楷体" w:cs="楷体"/>
          <w:spacing w:val="7"/>
          <w:sz w:val="31"/>
          <w:szCs w:val="31"/>
        </w:rPr>
        <w:t>（一）所属研究方向及攻关任务</w:t>
      </w:r>
    </w:p>
    <w:p w14:paraId="7935B192">
      <w:pPr>
        <w:pStyle w:val="2"/>
        <w:spacing w:before="238" w:line="372" w:lineRule="auto"/>
        <w:ind w:left="32" w:right="91" w:firstLine="557"/>
      </w:pPr>
      <w:r>
        <w:rPr>
          <w:spacing w:val="6"/>
        </w:rPr>
        <w:t>对应随州应急产业院士工作站高层建筑火灾高效灭火方法与灭</w:t>
      </w:r>
      <w:r>
        <w:rPr>
          <w:spacing w:val="-3"/>
        </w:rPr>
        <w:t>火装备研究中适配高层建筑的地面与空中灭火装备任务。</w:t>
      </w:r>
    </w:p>
    <w:p w14:paraId="6F46BB39">
      <w:pPr>
        <w:spacing w:before="2" w:line="225" w:lineRule="auto"/>
        <w:ind w:left="693"/>
        <w:outlineLvl w:val="1"/>
        <w:rPr>
          <w:rFonts w:ascii="楷体" w:hAnsi="楷体" w:eastAsia="楷体" w:cs="楷体"/>
          <w:sz w:val="31"/>
          <w:szCs w:val="31"/>
        </w:rPr>
      </w:pPr>
      <w:r>
        <w:rPr>
          <w:rFonts w:ascii="楷体" w:hAnsi="楷体" w:eastAsia="楷体" w:cs="楷体"/>
          <w:spacing w:val="3"/>
          <w:sz w:val="31"/>
          <w:szCs w:val="31"/>
        </w:rPr>
        <w:t>（二）必要性</w:t>
      </w:r>
    </w:p>
    <w:p w14:paraId="0CDB443C">
      <w:pPr>
        <w:pStyle w:val="2"/>
        <w:spacing w:before="235" w:line="382" w:lineRule="auto"/>
        <w:ind w:left="23" w:firstLine="556"/>
        <w:jc w:val="both"/>
      </w:pPr>
      <w:r>
        <w:rPr>
          <w:spacing w:val="-4"/>
        </w:rPr>
        <w:t>超高层建筑外立面火灾火点高、蔓延快、扑救距离远，易向室内和相邻楼层扩展，严重危害人员疏散和救援安全。车载消防炮能够从</w:t>
      </w:r>
      <w:r>
        <w:rPr>
          <w:spacing w:val="-3"/>
        </w:rPr>
        <w:t>建筑外部持续投送灭火介质，是压制外立面</w:t>
      </w:r>
      <w:r>
        <w:rPr>
          <w:spacing w:val="-4"/>
        </w:rPr>
        <w:t>火势、阻断火灾蔓延的重</w:t>
      </w:r>
      <w:r>
        <w:rPr>
          <w:spacing w:val="-10"/>
        </w:rPr>
        <w:t>要装备。无支腿无臂架高炮车无需支腿调平和臂架展开，具有占地小、</w:t>
      </w:r>
      <w:r>
        <w:rPr>
          <w:spacing w:val="-4"/>
        </w:rPr>
        <w:t>部署快、机动性强等优势，展现出超高层建筑外立面火灾扑救的良好</w:t>
      </w:r>
    </w:p>
    <w:p w14:paraId="4F7F6044">
      <w:pPr>
        <w:spacing w:line="382" w:lineRule="auto"/>
        <w:sectPr>
          <w:pgSz w:w="11907" w:h="16839"/>
          <w:pgMar w:top="1431" w:right="1713" w:bottom="0" w:left="1785" w:header="0" w:footer="0" w:gutter="0"/>
          <w:cols w:space="720" w:num="1"/>
        </w:sectPr>
      </w:pPr>
    </w:p>
    <w:p w14:paraId="3CF8E0A7">
      <w:pPr>
        <w:pStyle w:val="2"/>
        <w:spacing w:before="233" w:line="215" w:lineRule="auto"/>
        <w:ind w:left="26"/>
      </w:pPr>
      <w:r>
        <w:rPr>
          <w:spacing w:val="-6"/>
        </w:rPr>
        <w:t>潜力，但仍面临如下问题：</w:t>
      </w:r>
    </w:p>
    <w:p w14:paraId="3B19E256">
      <w:pPr>
        <w:pStyle w:val="2"/>
        <w:spacing w:before="253" w:line="379" w:lineRule="auto"/>
        <w:ind w:left="37" w:right="14" w:firstLine="568"/>
      </w:pPr>
      <w:r>
        <w:rPr>
          <w:rFonts w:ascii="Times New Roman" w:hAnsi="Times New Roman" w:eastAsia="Times New Roman" w:cs="Times New Roman"/>
        </w:rPr>
        <w:t>1</w:t>
      </w:r>
      <w:r>
        <w:t>）高效灭火方面，大流量灭火介质远距离喷射时能量损失大、</w:t>
      </w:r>
      <w:r>
        <w:rPr>
          <w:spacing w:val="-4"/>
        </w:rPr>
        <w:t>射流易衰减破碎，难以兼顾高扬程、远距离与大流量，到达高位火点</w:t>
      </w:r>
      <w:r>
        <w:rPr>
          <w:spacing w:val="-5"/>
        </w:rPr>
        <w:t>的有效流量不足，灭火效率不高；</w:t>
      </w:r>
    </w:p>
    <w:p w14:paraId="16C3E52E">
      <w:pPr>
        <w:pStyle w:val="2"/>
        <w:spacing w:before="13" w:line="372" w:lineRule="auto"/>
        <w:ind w:left="25" w:right="13" w:firstLine="554"/>
      </w:pPr>
      <w:r>
        <w:rPr>
          <w:rFonts w:ascii="Times New Roman" w:hAnsi="Times New Roman" w:eastAsia="Times New Roman" w:cs="Times New Roman"/>
          <w:spacing w:val="1"/>
        </w:rPr>
        <w:t>2</w:t>
      </w:r>
      <w:r>
        <w:rPr>
          <w:spacing w:val="1"/>
        </w:rPr>
        <w:t>）作业稳定性方面，大流量喷射反力大，无支腿状态下整车易</w:t>
      </w:r>
      <w:r>
        <w:rPr>
          <w:spacing w:val="-1"/>
        </w:rPr>
        <w:t>发生位移甚至倾覆，安全稳定性不足；</w:t>
      </w:r>
    </w:p>
    <w:p w14:paraId="2A8F702B">
      <w:pPr>
        <w:pStyle w:val="2"/>
        <w:spacing w:before="33" w:line="379" w:lineRule="auto"/>
        <w:ind w:left="31" w:right="9" w:firstLine="554"/>
      </w:pPr>
      <w:r>
        <w:rPr>
          <w:rFonts w:ascii="Times New Roman" w:hAnsi="Times New Roman" w:eastAsia="Times New Roman" w:cs="Times New Roman"/>
          <w:spacing w:val="1"/>
        </w:rPr>
        <w:t>3</w:t>
      </w:r>
      <w:r>
        <w:rPr>
          <w:spacing w:val="1"/>
        </w:rPr>
        <w:t>）精准投送方面，浓烟遮挡导致火源识别定位困难，高空风场</w:t>
      </w:r>
      <w:r>
        <w:rPr>
          <w:spacing w:val="-4"/>
        </w:rPr>
        <w:t>和火场热浪扰动造成射流漂移，落点难以控制，远距离精准投送能力</w:t>
      </w:r>
      <w:r>
        <w:rPr>
          <w:spacing w:val="-5"/>
        </w:rPr>
        <w:t>不足。</w:t>
      </w:r>
    </w:p>
    <w:p w14:paraId="727594B8">
      <w:pPr>
        <w:pStyle w:val="2"/>
        <w:spacing w:before="15" w:line="377" w:lineRule="auto"/>
        <w:ind w:left="28" w:right="12" w:firstLine="562"/>
        <w:jc w:val="both"/>
      </w:pPr>
      <w:r>
        <w:rPr>
          <w:spacing w:val="6"/>
        </w:rPr>
        <w:t>上述问题制约了无支腿无臂架高炮车在超高层建筑外立面火灾</w:t>
      </w:r>
      <w:r>
        <w:rPr>
          <w:spacing w:val="-4"/>
        </w:rPr>
        <w:t>扑救中的应用，</w:t>
      </w:r>
      <w:r>
        <w:rPr>
          <w:rFonts w:hint="eastAsia"/>
          <w:spacing w:val="-4"/>
          <w:lang w:eastAsia="zh-CN"/>
        </w:rPr>
        <w:t>亟须</w:t>
      </w:r>
      <w:r>
        <w:rPr>
          <w:spacing w:val="-4"/>
        </w:rPr>
        <w:t>采用新方法与新技术，研制无支腿无臂架高扬程大流量灭火救援高炮车，为超高层建筑外立面火灾扑救装备提供强力</w:t>
      </w:r>
      <w:r>
        <w:rPr>
          <w:spacing w:val="-16"/>
        </w:rPr>
        <w:t>支撑。</w:t>
      </w:r>
    </w:p>
    <w:p w14:paraId="0E4CEDAF">
      <w:pPr>
        <w:spacing w:before="1" w:line="222" w:lineRule="auto"/>
        <w:ind w:left="693"/>
        <w:outlineLvl w:val="1"/>
        <w:rPr>
          <w:rFonts w:ascii="楷体" w:hAnsi="楷体" w:eastAsia="楷体" w:cs="楷体"/>
          <w:sz w:val="31"/>
          <w:szCs w:val="31"/>
        </w:rPr>
      </w:pPr>
      <w:r>
        <w:rPr>
          <w:rFonts w:ascii="楷体" w:hAnsi="楷体" w:eastAsia="楷体" w:cs="楷体"/>
          <w:spacing w:val="3"/>
          <w:sz w:val="31"/>
          <w:szCs w:val="31"/>
        </w:rPr>
        <w:t>（三）研究内容</w:t>
      </w:r>
    </w:p>
    <w:p w14:paraId="6C953696">
      <w:pPr>
        <w:pStyle w:val="2"/>
        <w:spacing w:before="238" w:line="383" w:lineRule="auto"/>
        <w:ind w:left="19" w:right="14" w:firstLine="560"/>
        <w:jc w:val="both"/>
      </w:pPr>
      <w:r>
        <w:rPr>
          <w:spacing w:val="-4"/>
        </w:rPr>
        <w:t>针对超高层建筑外立面火灾高效扑救需求，开展无支腿无臂架高</w:t>
      </w:r>
      <w:r>
        <w:rPr>
          <w:spacing w:val="-3"/>
        </w:rPr>
        <w:t>扬程大流量灭火救援高炮车关键技术研究、样</w:t>
      </w:r>
      <w:r>
        <w:rPr>
          <w:spacing w:val="-4"/>
        </w:rPr>
        <w:t>车研制与示范应用。具</w:t>
      </w:r>
      <w:r>
        <w:rPr>
          <w:spacing w:val="-15"/>
        </w:rPr>
        <w:t>体包括：</w:t>
      </w:r>
    </w:p>
    <w:p w14:paraId="24012821">
      <w:pPr>
        <w:pStyle w:val="2"/>
        <w:spacing w:before="1" w:line="228" w:lineRule="auto"/>
        <w:ind w:left="606"/>
      </w:pPr>
      <w:r>
        <w:rPr>
          <w:rFonts w:ascii="Times New Roman" w:hAnsi="Times New Roman" w:eastAsia="Times New Roman" w:cs="Times New Roman"/>
          <w:spacing w:val="-2"/>
        </w:rPr>
        <w:t>1</w:t>
      </w:r>
      <w:r>
        <w:rPr>
          <w:spacing w:val="-2"/>
        </w:rPr>
        <w:t>）高扬程远距离高效灭火技术研究；</w:t>
      </w:r>
    </w:p>
    <w:p w14:paraId="2775CFB1">
      <w:pPr>
        <w:pStyle w:val="2"/>
        <w:spacing w:before="234" w:line="228" w:lineRule="auto"/>
        <w:ind w:left="579"/>
      </w:pPr>
      <w:r>
        <w:rPr>
          <w:rFonts w:ascii="Times New Roman" w:hAnsi="Times New Roman" w:eastAsia="Times New Roman" w:cs="Times New Roman"/>
        </w:rPr>
        <w:t>2</w:t>
      </w:r>
      <w:r>
        <w:t>）无支腿整车快速机动部署与抗倾覆稳定</w:t>
      </w:r>
      <w:r>
        <w:rPr>
          <w:spacing w:val="-1"/>
        </w:rPr>
        <w:t>控制技术研究；</w:t>
      </w:r>
    </w:p>
    <w:p w14:paraId="0A83255D">
      <w:pPr>
        <w:pStyle w:val="2"/>
        <w:spacing w:before="232" w:line="229" w:lineRule="auto"/>
        <w:ind w:left="585"/>
      </w:pPr>
      <w:r>
        <w:rPr>
          <w:rFonts w:ascii="Times New Roman" w:hAnsi="Times New Roman" w:eastAsia="Times New Roman" w:cs="Times New Roman"/>
          <w:spacing w:val="-1"/>
        </w:rPr>
        <w:t>3</w:t>
      </w:r>
      <w:r>
        <w:rPr>
          <w:spacing w:val="-1"/>
        </w:rPr>
        <w:t>）火源智能识别定位与无臂架射流精准投送技术研究；</w:t>
      </w:r>
    </w:p>
    <w:p w14:paraId="57062D87">
      <w:pPr>
        <w:pStyle w:val="2"/>
        <w:spacing w:before="234" w:line="229" w:lineRule="auto"/>
        <w:ind w:left="578"/>
      </w:pPr>
      <w:r>
        <w:rPr>
          <w:rFonts w:ascii="Times New Roman" w:hAnsi="Times New Roman" w:eastAsia="Times New Roman" w:cs="Times New Roman"/>
          <w:spacing w:val="-1"/>
        </w:rPr>
        <w:t>4</w:t>
      </w:r>
      <w:r>
        <w:rPr>
          <w:spacing w:val="-1"/>
        </w:rPr>
        <w:t>）样车研制与示范应用研究。</w:t>
      </w:r>
    </w:p>
    <w:p w14:paraId="4F155296">
      <w:pPr>
        <w:spacing w:before="200" w:line="225" w:lineRule="auto"/>
        <w:ind w:left="693"/>
        <w:outlineLvl w:val="1"/>
        <w:rPr>
          <w:rFonts w:ascii="楷体" w:hAnsi="楷体" w:eastAsia="楷体" w:cs="楷体"/>
          <w:sz w:val="31"/>
          <w:szCs w:val="31"/>
        </w:rPr>
      </w:pPr>
      <w:r>
        <w:rPr>
          <w:rFonts w:ascii="楷体" w:hAnsi="楷体" w:eastAsia="楷体" w:cs="楷体"/>
          <w:spacing w:val="4"/>
          <w:sz w:val="31"/>
          <w:szCs w:val="31"/>
        </w:rPr>
        <w:t>（四）考核指标</w:t>
      </w:r>
    </w:p>
    <w:p w14:paraId="5A1B3C88">
      <w:pPr>
        <w:pStyle w:val="2"/>
        <w:spacing w:before="235" w:line="381" w:lineRule="auto"/>
        <w:ind w:left="23" w:right="12" w:firstLine="583"/>
      </w:pPr>
      <w:r>
        <w:rPr>
          <w:rFonts w:ascii="Times New Roman" w:hAnsi="Times New Roman" w:eastAsia="Times New Roman" w:cs="Times New Roman"/>
          <w:spacing w:val="-7"/>
        </w:rPr>
        <w:t>1</w:t>
      </w:r>
      <w:r>
        <w:rPr>
          <w:spacing w:val="-7"/>
        </w:rPr>
        <w:t>）出口流量≥</w:t>
      </w:r>
      <w:r>
        <w:rPr>
          <w:spacing w:val="-109"/>
        </w:rPr>
        <w:t xml:space="preserve"> </w:t>
      </w:r>
      <w:r>
        <w:rPr>
          <w:rFonts w:ascii="Times New Roman" w:hAnsi="Times New Roman" w:eastAsia="Times New Roman" w:cs="Times New Roman"/>
          <w:spacing w:val="-7"/>
        </w:rPr>
        <w:t>130L/s</w:t>
      </w:r>
      <w:r>
        <w:rPr>
          <w:spacing w:val="-7"/>
        </w:rPr>
        <w:t>；添加灭火剂后，</w:t>
      </w:r>
      <w:r>
        <w:rPr>
          <w:spacing w:val="-8"/>
        </w:rPr>
        <w:t>有效射程和灭火效率分别</w:t>
      </w:r>
      <w:r>
        <w:rPr>
          <w:spacing w:val="-9"/>
        </w:rPr>
        <w:t>提升至清水的</w:t>
      </w:r>
      <w:r>
        <w:rPr>
          <w:rFonts w:ascii="Times New Roman" w:hAnsi="Times New Roman" w:eastAsia="Times New Roman" w:cs="Times New Roman"/>
          <w:spacing w:val="-9"/>
        </w:rPr>
        <w:t>1.2</w:t>
      </w:r>
      <w:r>
        <w:rPr>
          <w:spacing w:val="-9"/>
        </w:rPr>
        <w:t>倍（垂直喷高≥</w:t>
      </w:r>
      <w:r>
        <w:rPr>
          <w:rFonts w:ascii="Times New Roman" w:hAnsi="Times New Roman" w:eastAsia="Times New Roman" w:cs="Times New Roman"/>
          <w:spacing w:val="-9"/>
        </w:rPr>
        <w:t>160m</w:t>
      </w:r>
      <w:r>
        <w:rPr>
          <w:spacing w:val="-9"/>
        </w:rPr>
        <w:t>，水平射程≥</w:t>
      </w:r>
      <w:r>
        <w:rPr>
          <w:rFonts w:ascii="Times New Roman" w:hAnsi="Times New Roman" w:eastAsia="Times New Roman" w:cs="Times New Roman"/>
          <w:spacing w:val="-9"/>
        </w:rPr>
        <w:t>200m</w:t>
      </w:r>
      <w:r>
        <w:rPr>
          <w:spacing w:val="-9"/>
        </w:rPr>
        <w:t>）和</w:t>
      </w:r>
      <w:r>
        <w:rPr>
          <w:rFonts w:ascii="Times New Roman" w:hAnsi="Times New Roman" w:eastAsia="Times New Roman" w:cs="Times New Roman"/>
          <w:spacing w:val="-9"/>
        </w:rPr>
        <w:t>2</w:t>
      </w:r>
      <w:r>
        <w:rPr>
          <w:spacing w:val="-9"/>
        </w:rPr>
        <w:t>倍；</w:t>
      </w:r>
    </w:p>
    <w:p w14:paraId="114ED6C1">
      <w:pPr>
        <w:spacing w:line="381" w:lineRule="auto"/>
        <w:sectPr>
          <w:pgSz w:w="11907" w:h="16839"/>
          <w:pgMar w:top="1431" w:right="1785" w:bottom="0" w:left="1785" w:header="0" w:footer="0" w:gutter="0"/>
          <w:cols w:space="720" w:num="1"/>
        </w:sectPr>
      </w:pPr>
    </w:p>
    <w:p w14:paraId="11A8FEC5">
      <w:pPr>
        <w:pStyle w:val="2"/>
        <w:spacing w:before="233" w:line="229" w:lineRule="auto"/>
        <w:ind w:left="37"/>
      </w:pPr>
      <w:r>
        <w:rPr>
          <w:spacing w:val="-7"/>
        </w:rPr>
        <w:t>高效灭火技术报告</w:t>
      </w:r>
      <w:r>
        <w:rPr>
          <w:rFonts w:ascii="Times New Roman" w:hAnsi="Times New Roman" w:eastAsia="Times New Roman" w:cs="Times New Roman"/>
          <w:spacing w:val="-7"/>
        </w:rPr>
        <w:t>1</w:t>
      </w:r>
      <w:r>
        <w:rPr>
          <w:spacing w:val="-7"/>
        </w:rPr>
        <w:t>份；</w:t>
      </w:r>
    </w:p>
    <w:p w14:paraId="16584842">
      <w:pPr>
        <w:pStyle w:val="2"/>
        <w:spacing w:before="232" w:line="381" w:lineRule="auto"/>
        <w:ind w:left="36" w:right="131" w:firstLine="543"/>
      </w:pPr>
      <w:r>
        <w:rPr>
          <w:rFonts w:ascii="Times New Roman" w:hAnsi="Times New Roman" w:eastAsia="Times New Roman" w:cs="Times New Roman"/>
          <w:spacing w:val="-9"/>
        </w:rPr>
        <w:t>2</w:t>
      </w:r>
      <w:r>
        <w:rPr>
          <w:spacing w:val="-9"/>
        </w:rPr>
        <w:t>）整车长≤</w:t>
      </w:r>
      <w:r>
        <w:rPr>
          <w:rFonts w:ascii="Times New Roman" w:hAnsi="Times New Roman" w:eastAsia="Times New Roman" w:cs="Times New Roman"/>
          <w:spacing w:val="-9"/>
        </w:rPr>
        <w:t>10m</w:t>
      </w:r>
      <w:r>
        <w:rPr>
          <w:spacing w:val="-9"/>
        </w:rPr>
        <w:t>、宽≤</w:t>
      </w:r>
      <w:r>
        <w:rPr>
          <w:rFonts w:ascii="Times New Roman" w:hAnsi="Times New Roman" w:eastAsia="Times New Roman" w:cs="Times New Roman"/>
          <w:spacing w:val="-9"/>
        </w:rPr>
        <w:t>2.55m</w:t>
      </w:r>
      <w:r>
        <w:rPr>
          <w:spacing w:val="-9"/>
        </w:rPr>
        <w:t>、高≤</w:t>
      </w:r>
      <w:r>
        <w:rPr>
          <w:rFonts w:ascii="Times New Roman" w:hAnsi="Times New Roman" w:eastAsia="Times New Roman" w:cs="Times New Roman"/>
          <w:spacing w:val="-9"/>
        </w:rPr>
        <w:t>3.9m</w:t>
      </w:r>
      <w:r>
        <w:rPr>
          <w:spacing w:val="-9"/>
        </w:rPr>
        <w:t>，最小转弯直径</w:t>
      </w:r>
      <w:r>
        <w:rPr>
          <w:spacing w:val="-10"/>
        </w:rPr>
        <w:t>≤</w:t>
      </w:r>
      <w:r>
        <w:rPr>
          <w:rFonts w:ascii="Times New Roman" w:hAnsi="Times New Roman" w:eastAsia="Times New Roman" w:cs="Times New Roman"/>
          <w:spacing w:val="-10"/>
        </w:rPr>
        <w:t>24m</w:t>
      </w:r>
      <w:r>
        <w:rPr>
          <w:spacing w:val="-10"/>
        </w:rPr>
        <w:t>，</w:t>
      </w:r>
      <w:r>
        <w:t>灭火剂罐容量</w:t>
      </w:r>
      <w:r>
        <w:rPr>
          <w:spacing w:val="-52"/>
        </w:rPr>
        <w:t xml:space="preserve"> </w:t>
      </w:r>
      <w:r>
        <w:t>≥</w:t>
      </w:r>
      <w:r>
        <w:rPr>
          <w:spacing w:val="-109"/>
        </w:rPr>
        <w:t xml:space="preserve"> </w:t>
      </w:r>
      <w:r>
        <w:rPr>
          <w:rFonts w:ascii="Times New Roman" w:hAnsi="Times New Roman" w:eastAsia="Times New Roman" w:cs="Times New Roman"/>
        </w:rPr>
        <w:t>12t</w:t>
      </w:r>
      <w:r>
        <w:t>，侧倾稳定角≥</w:t>
      </w:r>
      <w:r>
        <w:rPr>
          <w:rFonts w:ascii="Times New Roman" w:hAnsi="Times New Roman" w:eastAsia="Times New Roman" w:cs="Times New Roman"/>
        </w:rPr>
        <w:t>23</w:t>
      </w:r>
      <w:r>
        <w:t>°</w:t>
      </w:r>
      <w:r>
        <w:rPr>
          <w:rFonts w:hint="eastAsia"/>
          <w:lang w:eastAsia="zh-CN"/>
        </w:rPr>
        <w:t>，</w:t>
      </w:r>
      <w:r>
        <w:t>灭火准备时间≤</w:t>
      </w:r>
      <w:r>
        <w:rPr>
          <w:rFonts w:ascii="Times New Roman" w:hAnsi="Times New Roman" w:eastAsia="Times New Roman" w:cs="Times New Roman"/>
        </w:rPr>
        <w:t>30s</w:t>
      </w:r>
      <w:r>
        <w:t>；</w:t>
      </w:r>
    </w:p>
    <w:p w14:paraId="5091614A">
      <w:pPr>
        <w:pStyle w:val="2"/>
        <w:spacing w:before="6" w:line="379" w:lineRule="auto"/>
        <w:ind w:left="24" w:right="96" w:firstLine="560"/>
      </w:pPr>
      <w:r>
        <w:rPr>
          <w:rFonts w:ascii="Times New Roman" w:hAnsi="Times New Roman" w:eastAsia="Times New Roman" w:cs="Times New Roman"/>
          <w:spacing w:val="-2"/>
        </w:rPr>
        <w:t>3</w:t>
      </w:r>
      <w:r>
        <w:rPr>
          <w:spacing w:val="-2"/>
        </w:rPr>
        <w:t>）对≥</w:t>
      </w:r>
      <w:r>
        <w:rPr>
          <w:rFonts w:ascii="Times New Roman" w:hAnsi="Times New Roman" w:eastAsia="Times New Roman" w:cs="Times New Roman"/>
          <w:spacing w:val="-2"/>
        </w:rPr>
        <w:t>200m</w:t>
      </w:r>
      <w:r>
        <w:rPr>
          <w:spacing w:val="-2"/>
        </w:rPr>
        <w:t>处</w:t>
      </w:r>
      <w:r>
        <w:rPr>
          <w:rFonts w:ascii="Times New Roman" w:hAnsi="Times New Roman" w:eastAsia="Times New Roman" w:cs="Times New Roman"/>
          <w:spacing w:val="-2"/>
        </w:rPr>
        <w:t>2.5m</w:t>
      </w:r>
      <w:r>
        <w:rPr>
          <w:spacing w:val="-2"/>
        </w:rPr>
        <w:t>×</w:t>
      </w:r>
      <w:r>
        <w:rPr>
          <w:rFonts w:ascii="Times New Roman" w:hAnsi="Times New Roman" w:eastAsia="Times New Roman" w:cs="Times New Roman"/>
          <w:spacing w:val="-2"/>
        </w:rPr>
        <w:t>2.5m</w:t>
      </w:r>
      <w:r>
        <w:rPr>
          <w:spacing w:val="-2"/>
        </w:rPr>
        <w:t>标靶，识别成功率≥</w:t>
      </w:r>
      <w:r>
        <w:rPr>
          <w:rFonts w:ascii="Times New Roman" w:hAnsi="Times New Roman" w:eastAsia="Times New Roman" w:cs="Times New Roman"/>
          <w:spacing w:val="-2"/>
        </w:rPr>
        <w:t>90%</w:t>
      </w:r>
      <w:r>
        <w:rPr>
          <w:spacing w:val="-2"/>
        </w:rPr>
        <w:t>，</w:t>
      </w:r>
      <w:r>
        <w:rPr>
          <w:spacing w:val="-3"/>
        </w:rPr>
        <w:t>单次识</w:t>
      </w:r>
      <w:r>
        <w:rPr>
          <w:spacing w:val="-1"/>
        </w:rPr>
        <w:t>别响应时间≤</w:t>
      </w:r>
      <w:r>
        <w:rPr>
          <w:rFonts w:ascii="Times New Roman" w:hAnsi="Times New Roman" w:eastAsia="Times New Roman" w:cs="Times New Roman"/>
          <w:spacing w:val="-1"/>
        </w:rPr>
        <w:t>5s</w:t>
      </w:r>
      <w:r>
        <w:rPr>
          <w:spacing w:val="-1"/>
        </w:rPr>
        <w:t>；对≥</w:t>
      </w:r>
      <w:r>
        <w:rPr>
          <w:rFonts w:ascii="Times New Roman" w:hAnsi="Times New Roman" w:eastAsia="Times New Roman" w:cs="Times New Roman"/>
          <w:spacing w:val="-1"/>
        </w:rPr>
        <w:t>100m</w:t>
      </w:r>
      <w:r>
        <w:rPr>
          <w:spacing w:val="-1"/>
        </w:rPr>
        <w:t>处同规格标靶，射流命中率≥</w:t>
      </w:r>
      <w:r>
        <w:rPr>
          <w:rFonts w:ascii="Times New Roman" w:hAnsi="Times New Roman" w:eastAsia="Times New Roman" w:cs="Times New Roman"/>
          <w:spacing w:val="-1"/>
        </w:rPr>
        <w:t>80%</w:t>
      </w:r>
      <w:r>
        <w:rPr>
          <w:spacing w:val="-1"/>
        </w:rPr>
        <w:t>；</w:t>
      </w:r>
    </w:p>
    <w:p w14:paraId="1F024D90">
      <w:pPr>
        <w:pStyle w:val="2"/>
        <w:spacing w:before="9" w:line="371" w:lineRule="auto"/>
        <w:ind w:left="85" w:right="71" w:firstLine="492"/>
      </w:pPr>
      <w:r>
        <w:rPr>
          <w:rFonts w:ascii="Times New Roman" w:hAnsi="Times New Roman" w:eastAsia="Times New Roman" w:cs="Times New Roman"/>
          <w:spacing w:val="-6"/>
        </w:rPr>
        <w:t>4</w:t>
      </w:r>
      <w:r>
        <w:rPr>
          <w:spacing w:val="-6"/>
        </w:rPr>
        <w:t>）样车研制方案报告</w:t>
      </w:r>
      <w:r>
        <w:rPr>
          <w:rFonts w:ascii="Times New Roman" w:hAnsi="Times New Roman" w:eastAsia="Times New Roman" w:cs="Times New Roman"/>
          <w:spacing w:val="-6"/>
        </w:rPr>
        <w:t>1</w:t>
      </w:r>
      <w:r>
        <w:rPr>
          <w:spacing w:val="-6"/>
        </w:rPr>
        <w:t>份、样车</w:t>
      </w:r>
      <w:r>
        <w:rPr>
          <w:rFonts w:ascii="Times New Roman" w:hAnsi="Times New Roman" w:eastAsia="Times New Roman" w:cs="Times New Roman"/>
          <w:spacing w:val="-6"/>
        </w:rPr>
        <w:t>1</w:t>
      </w:r>
      <w:r>
        <w:rPr>
          <w:spacing w:val="-6"/>
        </w:rPr>
        <w:t>台；联合消防救援支队完成≥</w:t>
      </w:r>
      <w:r>
        <w:rPr>
          <w:rFonts w:ascii="Times New Roman" w:hAnsi="Times New Roman" w:eastAsia="Times New Roman" w:cs="Times New Roman"/>
          <w:spacing w:val="-6"/>
        </w:rPr>
        <w:t>3</w:t>
      </w:r>
      <w:r>
        <w:rPr>
          <w:spacing w:val="-6"/>
        </w:rPr>
        <w:t>次演练并开展示范应用，形成示范应用报告</w:t>
      </w:r>
      <w:r>
        <w:rPr>
          <w:rFonts w:ascii="Times New Roman" w:hAnsi="Times New Roman" w:eastAsia="Times New Roman" w:cs="Times New Roman"/>
          <w:spacing w:val="-6"/>
        </w:rPr>
        <w:t>1</w:t>
      </w:r>
      <w:r>
        <w:rPr>
          <w:spacing w:val="-6"/>
        </w:rPr>
        <w:t>份。</w:t>
      </w:r>
    </w:p>
    <w:p w14:paraId="429BFB4C">
      <w:pPr>
        <w:spacing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28BFB99D">
      <w:pPr>
        <w:pStyle w:val="2"/>
        <w:spacing w:before="233" w:line="379" w:lineRule="auto"/>
        <w:ind w:left="23" w:firstLine="583"/>
      </w:pPr>
      <w:r>
        <w:rPr>
          <w:rFonts w:ascii="Times New Roman" w:hAnsi="Times New Roman" w:eastAsia="Times New Roman" w:cs="Times New Roman"/>
          <w:spacing w:val="-11"/>
        </w:rPr>
        <w:t>1</w:t>
      </w:r>
      <w:r>
        <w:rPr>
          <w:spacing w:val="-11"/>
        </w:rPr>
        <w:t>）出口流量保持</w:t>
      </w:r>
      <w:r>
        <w:rPr>
          <w:spacing w:val="-68"/>
        </w:rPr>
        <w:t xml:space="preserve"> </w:t>
      </w:r>
      <w:r>
        <w:rPr>
          <w:spacing w:val="-11"/>
        </w:rPr>
        <w:t>≥</w:t>
      </w:r>
      <w:r>
        <w:rPr>
          <w:spacing w:val="-110"/>
        </w:rPr>
        <w:t xml:space="preserve"> </w:t>
      </w:r>
      <w:r>
        <w:rPr>
          <w:rFonts w:ascii="Times New Roman" w:hAnsi="Times New Roman" w:eastAsia="Times New Roman" w:cs="Times New Roman"/>
          <w:spacing w:val="-11"/>
        </w:rPr>
        <w:t>130L/s</w:t>
      </w:r>
      <w:r>
        <w:rPr>
          <w:spacing w:val="-11"/>
        </w:rPr>
        <w:t>（</w:t>
      </w:r>
      <w:r>
        <w:rPr>
          <w:rFonts w:ascii="Times New Roman" w:hAnsi="Times New Roman" w:eastAsia="Times New Roman" w:cs="Times New Roman"/>
          <w:spacing w:val="-11"/>
        </w:rPr>
        <w:t>GB</w:t>
      </w:r>
      <w:r>
        <w:rPr>
          <w:rFonts w:ascii="Times New Roman" w:hAnsi="Times New Roman" w:eastAsia="Times New Roman" w:cs="Times New Roman"/>
          <w:spacing w:val="16"/>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2"/>
        </w:rPr>
        <w:t>9156-2019</w:t>
      </w:r>
      <w:r>
        <w:rPr>
          <w:spacing w:val="-98"/>
        </w:rPr>
        <w:t>），</w:t>
      </w:r>
      <w:r>
        <w:rPr>
          <w:spacing w:val="-12"/>
        </w:rPr>
        <w:t>垂直喷高由</w:t>
      </w:r>
      <w:r>
        <w:rPr>
          <w:spacing w:val="-69"/>
        </w:rPr>
        <w:t xml:space="preserve"> </w:t>
      </w:r>
      <w:r>
        <w:rPr>
          <w:spacing w:val="-12"/>
        </w:rPr>
        <w:t>≥</w:t>
      </w:r>
      <w:r>
        <w:rPr>
          <w:spacing w:val="-109"/>
        </w:rPr>
        <w:t xml:space="preserve"> </w:t>
      </w:r>
      <w:r>
        <w:rPr>
          <w:rFonts w:ascii="Times New Roman" w:hAnsi="Times New Roman" w:eastAsia="Times New Roman" w:cs="Times New Roman"/>
          <w:spacing w:val="-12"/>
        </w:rPr>
        <w:t>150m</w:t>
      </w:r>
      <w:r>
        <w:rPr>
          <w:spacing w:val="-7"/>
        </w:rPr>
        <w:t>提升至</w:t>
      </w:r>
      <w:r>
        <w:rPr>
          <w:spacing w:val="-69"/>
        </w:rPr>
        <w:t xml:space="preserve"> </w:t>
      </w:r>
      <w:r>
        <w:rPr>
          <w:spacing w:val="-7"/>
        </w:rPr>
        <w:t>≥</w:t>
      </w:r>
      <w:r>
        <w:rPr>
          <w:spacing w:val="-107"/>
        </w:rPr>
        <w:t xml:space="preserve"> </w:t>
      </w:r>
      <w:r>
        <w:rPr>
          <w:rFonts w:ascii="Times New Roman" w:hAnsi="Times New Roman" w:eastAsia="Times New Roman" w:cs="Times New Roman"/>
          <w:spacing w:val="-7"/>
        </w:rPr>
        <w:t>160m</w:t>
      </w:r>
      <w:r>
        <w:rPr>
          <w:spacing w:val="-7"/>
        </w:rPr>
        <w:t>（激光测距和无人机实测）、水平射程</w:t>
      </w:r>
      <w:r>
        <w:rPr>
          <w:spacing w:val="-8"/>
        </w:rPr>
        <w:t>由≥</w:t>
      </w:r>
      <w:r>
        <w:rPr>
          <w:spacing w:val="-107"/>
        </w:rPr>
        <w:t xml:space="preserve"> </w:t>
      </w:r>
      <w:r>
        <w:rPr>
          <w:rFonts w:ascii="Times New Roman" w:hAnsi="Times New Roman" w:eastAsia="Times New Roman" w:cs="Times New Roman"/>
          <w:spacing w:val="-8"/>
        </w:rPr>
        <w:t xml:space="preserve">180m  </w:t>
      </w:r>
      <w:r>
        <w:rPr>
          <w:spacing w:val="-8"/>
        </w:rPr>
        <w:t>提升</w:t>
      </w:r>
      <w:r>
        <w:rPr>
          <w:spacing w:val="-6"/>
        </w:rPr>
        <w:t>至</w:t>
      </w:r>
      <w:r>
        <w:rPr>
          <w:spacing w:val="-67"/>
        </w:rPr>
        <w:t xml:space="preserve"> </w:t>
      </w:r>
      <w:r>
        <w:rPr>
          <w:spacing w:val="-6"/>
        </w:rPr>
        <w:t>≥</w:t>
      </w:r>
      <w:r>
        <w:rPr>
          <w:rFonts w:ascii="Times New Roman" w:hAnsi="Times New Roman" w:eastAsia="Times New Roman" w:cs="Times New Roman"/>
          <w:spacing w:val="-6"/>
        </w:rPr>
        <w:t>200m</w:t>
      </w:r>
      <w:r>
        <w:rPr>
          <w:spacing w:val="-6"/>
        </w:rPr>
        <w:t>（</w:t>
      </w:r>
      <w:r>
        <w:rPr>
          <w:rFonts w:ascii="Times New Roman" w:hAnsi="Times New Roman" w:eastAsia="Times New Roman" w:cs="Times New Roman"/>
          <w:spacing w:val="-6"/>
        </w:rPr>
        <w:t>GB</w:t>
      </w:r>
      <w:r>
        <w:rPr>
          <w:rFonts w:ascii="Times New Roman" w:hAnsi="Times New Roman" w:eastAsia="Times New Roman" w:cs="Times New Roman"/>
          <w:spacing w:val="15"/>
        </w:rPr>
        <w:t xml:space="preserve"> </w:t>
      </w:r>
      <w:r>
        <w:rPr>
          <w:rFonts w:ascii="Times New Roman" w:hAnsi="Times New Roman" w:eastAsia="Times New Roman" w:cs="Times New Roman"/>
          <w:spacing w:val="-6"/>
        </w:rPr>
        <w:t>19156-2019</w:t>
      </w:r>
      <w:r>
        <w:rPr>
          <w:spacing w:val="-84"/>
        </w:rPr>
        <w:t>）；</w:t>
      </w:r>
      <w:r>
        <w:rPr>
          <w:spacing w:val="-6"/>
        </w:rPr>
        <w:t>添加筛</w:t>
      </w:r>
      <w:r>
        <w:rPr>
          <w:spacing w:val="-7"/>
        </w:rPr>
        <w:t>选的高层建筑适配灭火剂后，有</w:t>
      </w:r>
      <w:r>
        <w:rPr>
          <w:spacing w:val="-2"/>
        </w:rPr>
        <w:t>效射程和灭火效率分别提升至清水的</w:t>
      </w:r>
      <w:r>
        <w:rPr>
          <w:rFonts w:ascii="Times New Roman" w:hAnsi="Times New Roman" w:eastAsia="Times New Roman" w:cs="Times New Roman"/>
          <w:spacing w:val="-2"/>
        </w:rPr>
        <w:t>1.2</w:t>
      </w:r>
      <w:r>
        <w:rPr>
          <w:spacing w:val="-2"/>
        </w:rPr>
        <w:t>倍和</w:t>
      </w:r>
      <w:r>
        <w:rPr>
          <w:rFonts w:ascii="Times New Roman" w:hAnsi="Times New Roman" w:eastAsia="Times New Roman" w:cs="Times New Roman"/>
          <w:spacing w:val="-2"/>
        </w:rPr>
        <w:t>2</w:t>
      </w:r>
      <w:r>
        <w:rPr>
          <w:spacing w:val="-2"/>
        </w:rPr>
        <w:t>倍；灭火效率</w:t>
      </w:r>
      <w:r>
        <w:rPr>
          <w:spacing w:val="-3"/>
        </w:rPr>
        <w:t>指同一</w:t>
      </w:r>
      <w:r>
        <w:rPr>
          <w:spacing w:val="-10"/>
        </w:rPr>
        <w:t>火源，相同设备和相同流量下，水灭火时间与混合液灭火时间的比值，</w:t>
      </w:r>
      <w:r>
        <w:rPr>
          <w:spacing w:val="-1"/>
        </w:rPr>
        <w:t>比值越大，灭火效率越高。</w:t>
      </w:r>
    </w:p>
    <w:p w14:paraId="7F23C6F6">
      <w:pPr>
        <w:pStyle w:val="2"/>
        <w:spacing w:before="28" w:line="382" w:lineRule="auto"/>
        <w:ind w:left="14" w:right="70" w:firstLine="564"/>
      </w:pPr>
      <w:r>
        <w:rPr>
          <w:rFonts w:ascii="Times New Roman" w:hAnsi="Times New Roman" w:eastAsia="Times New Roman" w:cs="Times New Roman"/>
          <w:spacing w:val="-6"/>
        </w:rPr>
        <w:t>2</w:t>
      </w:r>
      <w:r>
        <w:rPr>
          <w:spacing w:val="-6"/>
        </w:rPr>
        <w:t>）整车长≤</w:t>
      </w:r>
      <w:r>
        <w:rPr>
          <w:spacing w:val="-105"/>
        </w:rPr>
        <w:t xml:space="preserve"> </w:t>
      </w:r>
      <w:r>
        <w:rPr>
          <w:rFonts w:ascii="Times New Roman" w:hAnsi="Times New Roman" w:eastAsia="Times New Roman" w:cs="Times New Roman"/>
          <w:spacing w:val="-6"/>
        </w:rPr>
        <w:t>10m</w:t>
      </w:r>
      <w:r>
        <w:rPr>
          <w:spacing w:val="-6"/>
        </w:rPr>
        <w:t>、宽≤</w:t>
      </w:r>
      <w:r>
        <w:rPr>
          <w:rFonts w:ascii="Times New Roman" w:hAnsi="Times New Roman" w:eastAsia="Times New Roman" w:cs="Times New Roman"/>
          <w:spacing w:val="-6"/>
        </w:rPr>
        <w:t>2.55m</w:t>
      </w:r>
      <w:r>
        <w:rPr>
          <w:spacing w:val="-6"/>
        </w:rPr>
        <w:t>、高≤</w:t>
      </w:r>
      <w:r>
        <w:rPr>
          <w:rFonts w:ascii="Times New Roman" w:hAnsi="Times New Roman" w:eastAsia="Times New Roman" w:cs="Times New Roman"/>
          <w:spacing w:val="-6"/>
        </w:rPr>
        <w:t>3.9m</w:t>
      </w:r>
      <w:r>
        <w:rPr>
          <w:spacing w:val="-6"/>
        </w:rPr>
        <w:t>（</w:t>
      </w:r>
      <w:r>
        <w:rPr>
          <w:rFonts w:ascii="Times New Roman" w:hAnsi="Times New Roman" w:eastAsia="Times New Roman" w:cs="Times New Roman"/>
          <w:spacing w:val="-6"/>
        </w:rPr>
        <w:t>GB</w:t>
      </w:r>
      <w:r>
        <w:rPr>
          <w:rFonts w:ascii="Times New Roman" w:hAnsi="Times New Roman" w:eastAsia="Times New Roman" w:cs="Times New Roman"/>
          <w:spacing w:val="15"/>
        </w:rPr>
        <w:t xml:space="preserve"> </w:t>
      </w:r>
      <w:r>
        <w:rPr>
          <w:rFonts w:ascii="Times New Roman" w:hAnsi="Times New Roman" w:eastAsia="Times New Roman" w:cs="Times New Roman"/>
          <w:spacing w:val="-6"/>
        </w:rPr>
        <w:t>1589-2016</w:t>
      </w:r>
      <w:r>
        <w:rPr>
          <w:spacing w:val="-72"/>
        </w:rPr>
        <w:t>），</w:t>
      </w:r>
      <w:r>
        <w:rPr>
          <w:spacing w:val="-6"/>
        </w:rPr>
        <w:t>最小</w:t>
      </w:r>
      <w:r>
        <w:rPr>
          <w:spacing w:val="-5"/>
        </w:rPr>
        <w:t>转弯直径≤</w:t>
      </w:r>
      <w:r>
        <w:rPr>
          <w:rFonts w:ascii="Times New Roman" w:hAnsi="Times New Roman" w:eastAsia="Times New Roman" w:cs="Times New Roman"/>
          <w:spacing w:val="-5"/>
        </w:rPr>
        <w:t>24m</w:t>
      </w:r>
      <w:r>
        <w:rPr>
          <w:spacing w:val="-5"/>
        </w:rPr>
        <w:t>（</w:t>
      </w:r>
      <w:r>
        <w:rPr>
          <w:rFonts w:ascii="Times New Roman" w:hAnsi="Times New Roman" w:eastAsia="Times New Roman" w:cs="Times New Roman"/>
          <w:spacing w:val="-5"/>
        </w:rPr>
        <w:t>GB/T 12540-2024</w:t>
      </w:r>
      <w:r>
        <w:rPr>
          <w:spacing w:val="-98"/>
        </w:rPr>
        <w:t>），</w:t>
      </w:r>
      <w:r>
        <w:rPr>
          <w:spacing w:val="-6"/>
        </w:rPr>
        <w:t>灭火剂罐容量≥</w:t>
      </w:r>
      <w:r>
        <w:rPr>
          <w:spacing w:val="-109"/>
        </w:rPr>
        <w:t xml:space="preserve"> </w:t>
      </w:r>
      <w:r>
        <w:rPr>
          <w:rFonts w:ascii="Times New Roman" w:hAnsi="Times New Roman" w:eastAsia="Times New Roman" w:cs="Times New Roman"/>
          <w:spacing w:val="-6"/>
        </w:rPr>
        <w:t>12t</w:t>
      </w:r>
      <w:r>
        <w:rPr>
          <w:spacing w:val="-6"/>
        </w:rPr>
        <w:t>（</w:t>
      </w:r>
      <w:r>
        <w:rPr>
          <w:rFonts w:ascii="Times New Roman" w:hAnsi="Times New Roman" w:eastAsia="Times New Roman" w:cs="Times New Roman"/>
          <w:spacing w:val="-6"/>
        </w:rPr>
        <w:t>GB 7956.1-</w:t>
      </w:r>
      <w:r>
        <w:rPr>
          <w:rFonts w:ascii="Times New Roman" w:hAnsi="Times New Roman" w:eastAsia="Times New Roman" w:cs="Times New Roman"/>
        </w:rPr>
        <w:t xml:space="preserve"> </w:t>
      </w:r>
      <w:r>
        <w:rPr>
          <w:rFonts w:ascii="Times New Roman" w:hAnsi="Times New Roman" w:eastAsia="Times New Roman" w:cs="Times New Roman"/>
          <w:spacing w:val="-2"/>
        </w:rPr>
        <w:t>2025</w:t>
      </w:r>
      <w:r>
        <w:rPr>
          <w:spacing w:val="-61"/>
        </w:rPr>
        <w:t>），</w:t>
      </w:r>
      <w:r>
        <w:rPr>
          <w:spacing w:val="-2"/>
        </w:rPr>
        <w:t>侧倾稳定角≥</w:t>
      </w:r>
      <w:r>
        <w:rPr>
          <w:rFonts w:ascii="Times New Roman" w:hAnsi="Times New Roman" w:eastAsia="Times New Roman" w:cs="Times New Roman"/>
          <w:spacing w:val="-2"/>
        </w:rPr>
        <w:t>23</w:t>
      </w:r>
      <w:r>
        <w:rPr>
          <w:rFonts w:ascii="Times New Roman" w:hAnsi="Times New Roman" w:eastAsia="Times New Roman" w:cs="Times New Roman"/>
          <w:spacing w:val="-51"/>
        </w:rPr>
        <w:t xml:space="preserve"> </w:t>
      </w:r>
      <w:r>
        <w:rPr>
          <w:spacing w:val="-2"/>
        </w:rPr>
        <w:t>°（</w:t>
      </w:r>
      <w:r>
        <w:rPr>
          <w:rFonts w:ascii="Times New Roman" w:hAnsi="Times New Roman" w:eastAsia="Times New Roman" w:cs="Times New Roman"/>
          <w:spacing w:val="-2"/>
        </w:rPr>
        <w:t>GB/T 14172-2021</w:t>
      </w:r>
      <w:r>
        <w:rPr>
          <w:spacing w:val="-61"/>
        </w:rPr>
        <w:t>），</w:t>
      </w:r>
      <w:r>
        <w:rPr>
          <w:spacing w:val="-2"/>
        </w:rPr>
        <w:t>灭火准备时间≤</w:t>
      </w:r>
      <w:r>
        <w:rPr>
          <w:rFonts w:ascii="Times New Roman" w:hAnsi="Times New Roman" w:eastAsia="Times New Roman" w:cs="Times New Roman"/>
          <w:spacing w:val="-2"/>
        </w:rPr>
        <w:t>30s</w:t>
      </w:r>
      <w:r>
        <w:rPr>
          <w:rFonts w:ascii="Times New Roman" w:hAnsi="Times New Roman" w:eastAsia="Times New Roman" w:cs="Times New Roman"/>
        </w:rPr>
        <w:t xml:space="preserve"> </w:t>
      </w:r>
      <w:r>
        <w:rPr>
          <w:spacing w:val="-8"/>
        </w:rPr>
        <w:t>（从车辆停止到出水高度</w:t>
      </w:r>
      <w:r>
        <w:rPr>
          <w:rFonts w:ascii="Times New Roman" w:hAnsi="Times New Roman" w:eastAsia="Times New Roman" w:cs="Times New Roman"/>
          <w:spacing w:val="-8"/>
        </w:rPr>
        <w:t>100m</w:t>
      </w:r>
      <w:r>
        <w:rPr>
          <w:spacing w:val="-8"/>
        </w:rPr>
        <w:t>以上，现场计时</w:t>
      </w:r>
      <w:r>
        <w:rPr>
          <w:spacing w:val="-24"/>
        </w:rPr>
        <w:t>）；</w:t>
      </w:r>
    </w:p>
    <w:p w14:paraId="07658842">
      <w:pPr>
        <w:pStyle w:val="2"/>
        <w:spacing w:before="3" w:line="382" w:lineRule="auto"/>
        <w:ind w:left="16" w:right="70" w:firstLine="568"/>
      </w:pPr>
      <w:r>
        <w:rPr>
          <w:rFonts w:ascii="Times New Roman" w:hAnsi="Times New Roman" w:eastAsia="Times New Roman" w:cs="Times New Roman"/>
          <w:spacing w:val="1"/>
        </w:rPr>
        <w:t>3</w:t>
      </w:r>
      <w:r>
        <w:rPr>
          <w:spacing w:val="1"/>
        </w:rPr>
        <w:t>）由传统人工识别火源目标、人工操作消防炮射流提升到探测</w:t>
      </w:r>
      <w:r>
        <w:rPr>
          <w:spacing w:val="-3"/>
        </w:rPr>
        <w:t>系统智能识别定位火源、自动调整修正消防炮射流；地面风速≤</w:t>
      </w:r>
      <w:r>
        <w:rPr>
          <w:rFonts w:ascii="Times New Roman" w:hAnsi="Times New Roman" w:eastAsia="Times New Roman" w:cs="Times New Roman"/>
          <w:spacing w:val="-3"/>
        </w:rPr>
        <w:t>2m/s</w:t>
      </w:r>
      <w:r>
        <w:rPr>
          <w:spacing w:val="-6"/>
        </w:rPr>
        <w:t>下，对≥</w:t>
      </w:r>
      <w:r>
        <w:rPr>
          <w:rFonts w:ascii="Times New Roman" w:hAnsi="Times New Roman" w:eastAsia="Times New Roman" w:cs="Times New Roman"/>
          <w:spacing w:val="-6"/>
        </w:rPr>
        <w:t>200m</w:t>
      </w:r>
      <w:r>
        <w:rPr>
          <w:spacing w:val="-6"/>
        </w:rPr>
        <w:t>处</w:t>
      </w:r>
      <w:r>
        <w:rPr>
          <w:rFonts w:ascii="Times New Roman" w:hAnsi="Times New Roman" w:eastAsia="Times New Roman" w:cs="Times New Roman"/>
          <w:spacing w:val="-6"/>
        </w:rPr>
        <w:t>2.5m</w:t>
      </w:r>
      <w:r>
        <w:rPr>
          <w:spacing w:val="-6"/>
        </w:rPr>
        <w:t>×</w:t>
      </w:r>
      <w:r>
        <w:rPr>
          <w:rFonts w:ascii="Times New Roman" w:hAnsi="Times New Roman" w:eastAsia="Times New Roman" w:cs="Times New Roman"/>
          <w:spacing w:val="-6"/>
        </w:rPr>
        <w:t>2.5m</w:t>
      </w:r>
      <w:r>
        <w:rPr>
          <w:spacing w:val="-6"/>
        </w:rPr>
        <w:t>标靶探测≥</w:t>
      </w:r>
      <w:r>
        <w:rPr>
          <w:rFonts w:ascii="Times New Roman" w:hAnsi="Times New Roman" w:eastAsia="Times New Roman" w:cs="Times New Roman"/>
          <w:spacing w:val="-6"/>
        </w:rPr>
        <w:t>10</w:t>
      </w:r>
      <w:r>
        <w:rPr>
          <w:spacing w:val="-6"/>
        </w:rPr>
        <w:t>次，识别成功率≥</w:t>
      </w:r>
      <w:r>
        <w:rPr>
          <w:rFonts w:ascii="Times New Roman" w:hAnsi="Times New Roman" w:eastAsia="Times New Roman" w:cs="Times New Roman"/>
          <w:spacing w:val="-6"/>
        </w:rPr>
        <w:t>90%</w:t>
      </w:r>
      <w:r>
        <w:rPr>
          <w:rFonts w:ascii="Times New Roman" w:hAnsi="Times New Roman" w:eastAsia="Times New Roman" w:cs="Times New Roman"/>
          <w:spacing w:val="-32"/>
        </w:rPr>
        <w:t xml:space="preserve"> </w:t>
      </w:r>
      <w:r>
        <w:rPr>
          <w:spacing w:val="-6"/>
        </w:rPr>
        <w:t>，</w:t>
      </w:r>
      <w:r>
        <w:rPr>
          <w:spacing w:val="-1"/>
        </w:rPr>
        <w:t>单次识别响应时间≤</w:t>
      </w:r>
      <w:r>
        <w:rPr>
          <w:rFonts w:ascii="Times New Roman" w:hAnsi="Times New Roman" w:eastAsia="Times New Roman" w:cs="Times New Roman"/>
          <w:spacing w:val="-1"/>
        </w:rPr>
        <w:t>5s</w:t>
      </w:r>
      <w:r>
        <w:rPr>
          <w:spacing w:val="-1"/>
        </w:rPr>
        <w:t>；对≥</w:t>
      </w:r>
      <w:r>
        <w:rPr>
          <w:rFonts w:ascii="Times New Roman" w:hAnsi="Times New Roman" w:eastAsia="Times New Roman" w:cs="Times New Roman"/>
          <w:spacing w:val="-1"/>
        </w:rPr>
        <w:t>100m</w:t>
      </w:r>
      <w:r>
        <w:rPr>
          <w:spacing w:val="-1"/>
        </w:rPr>
        <w:t>处同规格标</w:t>
      </w:r>
      <w:r>
        <w:rPr>
          <w:spacing w:val="-2"/>
        </w:rPr>
        <w:t>靶打靶≥</w:t>
      </w:r>
      <w:r>
        <w:rPr>
          <w:rFonts w:ascii="Times New Roman" w:hAnsi="Times New Roman" w:eastAsia="Times New Roman" w:cs="Times New Roman"/>
          <w:spacing w:val="-2"/>
        </w:rPr>
        <w:t>10</w:t>
      </w:r>
      <w:r>
        <w:rPr>
          <w:spacing w:val="-2"/>
        </w:rPr>
        <w:t>次，射流</w:t>
      </w:r>
      <w:r>
        <w:rPr>
          <w:spacing w:val="-1"/>
        </w:rPr>
        <w:t>命中率≥</w:t>
      </w:r>
      <w:r>
        <w:rPr>
          <w:rFonts w:ascii="Times New Roman" w:hAnsi="Times New Roman" w:eastAsia="Times New Roman" w:cs="Times New Roman"/>
          <w:spacing w:val="-1"/>
        </w:rPr>
        <w:t>80%</w:t>
      </w:r>
      <w:r>
        <w:rPr>
          <w:spacing w:val="-1"/>
        </w:rPr>
        <w:t>；</w:t>
      </w:r>
    </w:p>
    <w:p w14:paraId="04906C87">
      <w:pPr>
        <w:pStyle w:val="2"/>
        <w:spacing w:before="6" w:line="229" w:lineRule="auto"/>
        <w:ind w:left="578"/>
      </w:pPr>
      <w:r>
        <w:rPr>
          <w:rFonts w:ascii="Times New Roman" w:hAnsi="Times New Roman" w:eastAsia="Times New Roman" w:cs="Times New Roman"/>
          <w:spacing w:val="1"/>
        </w:rPr>
        <w:t>4</w:t>
      </w:r>
      <w:r>
        <w:rPr>
          <w:spacing w:val="1"/>
        </w:rPr>
        <w:t>）样车研制方案报告应明确研制目标、主要技术指标、整车总</w:t>
      </w:r>
    </w:p>
    <w:p w14:paraId="6B46EEA3">
      <w:pPr>
        <w:spacing w:line="229" w:lineRule="auto"/>
        <w:sectPr>
          <w:pgSz w:w="11907" w:h="16839"/>
          <w:pgMar w:top="1431" w:right="1725" w:bottom="0" w:left="1785" w:header="0" w:footer="0" w:gutter="0"/>
          <w:cols w:space="720" w:num="1"/>
        </w:sectPr>
      </w:pPr>
    </w:p>
    <w:p w14:paraId="0B5E3660">
      <w:pPr>
        <w:pStyle w:val="2"/>
        <w:spacing w:before="234" w:line="375" w:lineRule="auto"/>
        <w:ind w:left="32" w:right="88" w:hanging="13"/>
        <w:jc w:val="both"/>
      </w:pPr>
      <w:r>
        <w:rPr>
          <w:spacing w:val="-3"/>
        </w:rPr>
        <w:t>体布局、关键系统设计与匹配、整车集成以及样车</w:t>
      </w:r>
      <w:r>
        <w:rPr>
          <w:spacing w:val="-4"/>
        </w:rPr>
        <w:t>试制与试验验证方</w:t>
      </w:r>
      <w:r>
        <w:rPr>
          <w:spacing w:val="-3"/>
        </w:rPr>
        <w:t>案；联合消防救援支队开展≥</w:t>
      </w:r>
      <w:r>
        <w:rPr>
          <w:rFonts w:ascii="Times New Roman" w:hAnsi="Times New Roman" w:eastAsia="Times New Roman" w:cs="Times New Roman"/>
          <w:spacing w:val="-3"/>
        </w:rPr>
        <w:t>3</w:t>
      </w:r>
      <w:r>
        <w:rPr>
          <w:spacing w:val="-3"/>
        </w:rPr>
        <w:t>次演练，样车在不少于</w:t>
      </w:r>
      <w:r>
        <w:rPr>
          <w:rFonts w:ascii="Times New Roman" w:hAnsi="Times New Roman" w:eastAsia="Times New Roman" w:cs="Times New Roman"/>
          <w:spacing w:val="-3"/>
        </w:rPr>
        <w:t>1</w:t>
      </w:r>
      <w:r>
        <w:rPr>
          <w:spacing w:val="-3"/>
        </w:rPr>
        <w:t>支消防救援</w:t>
      </w:r>
      <w:r>
        <w:rPr>
          <w:spacing w:val="-5"/>
        </w:rPr>
        <w:t>支队开展驻队示范应用。</w:t>
      </w:r>
    </w:p>
    <w:p w14:paraId="53601798">
      <w:pPr>
        <w:spacing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0A0A9C5E">
      <w:pPr>
        <w:pStyle w:val="2"/>
        <w:spacing w:before="225" w:line="372" w:lineRule="auto"/>
        <w:ind w:left="37" w:right="89" w:firstLine="559"/>
      </w:pPr>
      <w:r>
        <w:rPr>
          <w:spacing w:val="-4"/>
        </w:rPr>
        <w:t>高扬程大流量远距离；高效灭火技术；无支腿抗倾覆</w:t>
      </w:r>
      <w:r>
        <w:rPr>
          <w:spacing w:val="-5"/>
        </w:rPr>
        <w:t>；火源智能</w:t>
      </w:r>
      <w:r>
        <w:rPr>
          <w:spacing w:val="-2"/>
        </w:rPr>
        <w:t>识别定位；无臂架精准射流；灭火救援高炮车</w:t>
      </w:r>
    </w:p>
    <w:p w14:paraId="233F8AFD">
      <w:pPr>
        <w:spacing w:before="1" w:line="230"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17A9FCBB">
      <w:pPr>
        <w:pStyle w:val="2"/>
        <w:spacing w:before="209" w:line="214" w:lineRule="auto"/>
        <w:ind w:left="596"/>
      </w:pPr>
      <w:r>
        <w:rPr>
          <w:spacing w:val="-3"/>
        </w:rPr>
        <w:t>重大技术装备类。</w:t>
      </w:r>
    </w:p>
    <w:p w14:paraId="6ACF94A4">
      <w:pPr>
        <w:spacing w:before="218" w:line="223" w:lineRule="auto"/>
        <w:ind w:left="693"/>
        <w:outlineLvl w:val="1"/>
        <w:rPr>
          <w:rFonts w:ascii="楷体" w:hAnsi="楷体" w:eastAsia="楷体" w:cs="楷体"/>
          <w:sz w:val="31"/>
          <w:szCs w:val="31"/>
        </w:rPr>
      </w:pPr>
      <w:r>
        <w:rPr>
          <w:rFonts w:ascii="楷体" w:hAnsi="楷体" w:eastAsia="楷体" w:cs="楷体"/>
          <w:spacing w:val="4"/>
          <w:sz w:val="31"/>
          <w:szCs w:val="31"/>
        </w:rPr>
        <w:t>（八）实施年限</w:t>
      </w:r>
    </w:p>
    <w:p w14:paraId="0F777885">
      <w:pPr>
        <w:pStyle w:val="2"/>
        <w:spacing w:before="237"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28E6CC35">
      <w:pPr>
        <w:spacing w:before="197" w:line="225" w:lineRule="auto"/>
        <w:ind w:left="693"/>
        <w:outlineLvl w:val="1"/>
        <w:rPr>
          <w:rFonts w:ascii="楷体" w:hAnsi="楷体" w:eastAsia="楷体" w:cs="楷体"/>
          <w:sz w:val="31"/>
          <w:szCs w:val="31"/>
        </w:rPr>
      </w:pPr>
      <w:r>
        <w:rPr>
          <w:rFonts w:ascii="楷体" w:hAnsi="楷体" w:eastAsia="楷体" w:cs="楷体"/>
          <w:spacing w:val="4"/>
          <w:sz w:val="31"/>
          <w:szCs w:val="31"/>
        </w:rPr>
        <w:t>（九）建议支持项目数</w:t>
      </w:r>
    </w:p>
    <w:p w14:paraId="523200EB">
      <w:pPr>
        <w:pStyle w:val="2"/>
        <w:spacing w:before="221" w:line="232" w:lineRule="auto"/>
        <w:ind w:left="606"/>
      </w:pPr>
      <w:r>
        <w:rPr>
          <w:rFonts w:ascii="Times New Roman" w:hAnsi="Times New Roman" w:eastAsia="Times New Roman" w:cs="Times New Roman"/>
          <w:spacing w:val="-16"/>
        </w:rPr>
        <w:t>1</w:t>
      </w:r>
      <w:r>
        <w:rPr>
          <w:spacing w:val="-16"/>
        </w:rPr>
        <w:t>至</w:t>
      </w:r>
      <w:r>
        <w:rPr>
          <w:rFonts w:ascii="Times New Roman" w:hAnsi="Times New Roman" w:eastAsia="Times New Roman" w:cs="Times New Roman"/>
          <w:spacing w:val="-16"/>
        </w:rPr>
        <w:t>2</w:t>
      </w:r>
      <w:r>
        <w:rPr>
          <w:spacing w:val="-16"/>
        </w:rPr>
        <w:t>项。</w:t>
      </w:r>
    </w:p>
    <w:p w14:paraId="61A9CAB8">
      <w:pPr>
        <w:spacing w:before="190"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0C67BB42">
      <w:pPr>
        <w:pStyle w:val="2"/>
        <w:spacing w:before="213" w:line="368" w:lineRule="auto"/>
        <w:ind w:left="24" w:firstLine="560"/>
        <w:jc w:val="both"/>
      </w:pPr>
      <w:r>
        <w:rPr>
          <w:spacing w:val="1"/>
        </w:rPr>
        <w:t>联合消防救援支队开展不少于</w:t>
      </w:r>
      <w:r>
        <w:rPr>
          <w:rFonts w:ascii="Times New Roman" w:hAnsi="Times New Roman" w:eastAsia="Times New Roman" w:cs="Times New Roman"/>
          <w:spacing w:val="1"/>
        </w:rPr>
        <w:t xml:space="preserve">3  </w:t>
      </w:r>
      <w:r>
        <w:rPr>
          <w:spacing w:val="1"/>
        </w:rPr>
        <w:t>次演练，系统验证车辆快速部</w:t>
      </w:r>
      <w:r>
        <w:rPr>
          <w:spacing w:val="-4"/>
        </w:rPr>
        <w:t>署、火源识别定位、射流精准投送和高效灭火的全过程作业性能。将</w:t>
      </w:r>
      <w:r>
        <w:rPr>
          <w:spacing w:val="-5"/>
        </w:rPr>
        <w:t>样车部署至不少于</w:t>
      </w:r>
      <w:r>
        <w:rPr>
          <w:rFonts w:ascii="Times New Roman" w:hAnsi="Times New Roman" w:eastAsia="Times New Roman" w:cs="Times New Roman"/>
          <w:spacing w:val="-5"/>
        </w:rPr>
        <w:t>1</w:t>
      </w:r>
      <w:r>
        <w:rPr>
          <w:spacing w:val="-5"/>
        </w:rPr>
        <w:t>支消防救援支队开展驻队示范应用，由消防救援</w:t>
      </w:r>
      <w:r>
        <w:rPr>
          <w:spacing w:val="-1"/>
        </w:rPr>
        <w:t>人员进行日常训练、实装操作和应用评价，重点验证装备的实用性、</w:t>
      </w:r>
      <w:r>
        <w:rPr>
          <w:spacing w:val="-4"/>
        </w:rPr>
        <w:t>可靠性及操作适应性，形成可复制、可推广的应用模式，支撑随州应急装备产业高端化、智能化发展，为同类装备在全国消防救援队伍推</w:t>
      </w:r>
      <w:r>
        <w:rPr>
          <w:spacing w:val="-1"/>
        </w:rPr>
        <w:t>广应用提供示范。</w:t>
      </w:r>
    </w:p>
    <w:p w14:paraId="3835D5D5">
      <w:pPr>
        <w:spacing w:before="1" w:line="228"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（十一）项目组织方式及依据</w:t>
      </w:r>
    </w:p>
    <w:p w14:paraId="4D09D539">
      <w:pPr>
        <w:pStyle w:val="2"/>
        <w:spacing w:before="214" w:line="365" w:lineRule="auto"/>
        <w:ind w:left="28" w:right="89" w:firstLine="548"/>
      </w:pPr>
      <w:r>
        <w:rPr>
          <w:spacing w:val="-4"/>
        </w:rPr>
        <w:t>研制单位中须有注册地在湖北省随州市的车企参加。拟支持项目</w:t>
      </w:r>
      <w:r>
        <w:rPr>
          <w:spacing w:val="-10"/>
        </w:rPr>
        <w:t>中，</w:t>
      </w:r>
      <w:r>
        <w:rPr>
          <w:rFonts w:ascii="Times New Roman" w:hAnsi="Times New Roman" w:eastAsia="Times New Roman" w:cs="Times New Roman"/>
          <w:spacing w:val="-10"/>
        </w:rPr>
        <w:t>1</w:t>
      </w:r>
      <w:r>
        <w:rPr>
          <w:spacing w:val="-10"/>
        </w:rPr>
        <w:t>项采取定向方式组织实施；另</w:t>
      </w:r>
      <w:r>
        <w:rPr>
          <w:rFonts w:ascii="Times New Roman" w:hAnsi="Times New Roman" w:eastAsia="Times New Roman" w:cs="Times New Roman"/>
          <w:spacing w:val="-10"/>
        </w:rPr>
        <w:t>1</w:t>
      </w:r>
      <w:r>
        <w:rPr>
          <w:spacing w:val="-10"/>
        </w:rPr>
        <w:t>项采取</w:t>
      </w:r>
      <w:r>
        <w:rPr>
          <w:rFonts w:hint="eastAsia"/>
          <w:spacing w:val="-10"/>
          <w:lang w:eastAsia="zh-CN"/>
        </w:rPr>
        <w:t>“揭榜挂帅”</w:t>
      </w:r>
      <w:r>
        <w:rPr>
          <w:spacing w:val="-11"/>
        </w:rPr>
        <w:t>方式组织实施。</w:t>
      </w:r>
      <w:r>
        <w:rPr>
          <w:spacing w:val="-6"/>
        </w:rPr>
        <w:t>项目依据为《随州职业技术学院 院士工作站合作协议书》。</w:t>
      </w:r>
    </w:p>
    <w:p w14:paraId="2C43AF2F">
      <w:pPr>
        <w:spacing w:line="365" w:lineRule="auto"/>
        <w:sectPr>
          <w:pgSz w:w="11907" w:h="16839"/>
          <w:pgMar w:top="1431" w:right="1709" w:bottom="0" w:left="1785" w:header="0" w:footer="0" w:gutter="0"/>
          <w:cols w:space="720" w:num="1"/>
        </w:sectPr>
      </w:pPr>
    </w:p>
    <w:p w14:paraId="427A2278">
      <w:pPr>
        <w:spacing w:line="256" w:lineRule="auto"/>
        <w:rPr>
          <w:rFonts w:ascii="Arial"/>
          <w:sz w:val="21"/>
        </w:rPr>
      </w:pPr>
    </w:p>
    <w:p w14:paraId="261C836B">
      <w:pPr>
        <w:spacing w:line="257" w:lineRule="auto"/>
        <w:rPr>
          <w:rFonts w:ascii="Arial"/>
          <w:sz w:val="21"/>
        </w:rPr>
      </w:pPr>
    </w:p>
    <w:p w14:paraId="5E999775">
      <w:pPr>
        <w:spacing w:before="140" w:line="222" w:lineRule="auto"/>
        <w:ind w:left="237"/>
        <w:outlineLvl w:val="0"/>
        <w:rPr>
          <w:rFonts w:ascii="黑体" w:hAnsi="黑体" w:eastAsia="黑体" w:cs="黑体"/>
          <w:sz w:val="43"/>
          <w:szCs w:val="43"/>
        </w:rPr>
      </w:pPr>
      <w:r>
        <w:rPr>
          <w:rFonts w:ascii="黑体" w:hAnsi="黑体" w:eastAsia="黑体" w:cs="黑体"/>
          <w:spacing w:val="8"/>
          <w:sz w:val="43"/>
          <w:szCs w:val="43"/>
        </w:rPr>
        <w:t>六、普通水罐消防车和举高喷射消防车提</w:t>
      </w:r>
    </w:p>
    <w:p w14:paraId="2FC313E8">
      <w:pPr>
        <w:spacing w:before="63" w:line="223" w:lineRule="auto"/>
        <w:ind w:left="3527"/>
        <w:outlineLvl w:val="0"/>
        <w:rPr>
          <w:rFonts w:ascii="黑体" w:hAnsi="黑体" w:eastAsia="黑体" w:cs="黑体"/>
          <w:sz w:val="43"/>
          <w:szCs w:val="43"/>
        </w:rPr>
      </w:pPr>
      <w:r>
        <w:rPr>
          <w:rFonts w:ascii="黑体" w:hAnsi="黑体" w:eastAsia="黑体" w:cs="黑体"/>
          <w:spacing w:val="2"/>
          <w:sz w:val="43"/>
          <w:szCs w:val="43"/>
        </w:rPr>
        <w:t>质研究</w:t>
      </w:r>
    </w:p>
    <w:p w14:paraId="4BD882AB">
      <w:pPr>
        <w:spacing w:before="318" w:line="223" w:lineRule="auto"/>
        <w:ind w:left="693"/>
        <w:outlineLvl w:val="1"/>
        <w:rPr>
          <w:rFonts w:ascii="楷体" w:hAnsi="楷体" w:eastAsia="楷体" w:cs="楷体"/>
          <w:sz w:val="31"/>
          <w:szCs w:val="31"/>
        </w:rPr>
      </w:pPr>
      <w:r>
        <w:rPr>
          <w:rFonts w:ascii="楷体" w:hAnsi="楷体" w:eastAsia="楷体" w:cs="楷体"/>
          <w:spacing w:val="7"/>
          <w:sz w:val="31"/>
          <w:szCs w:val="31"/>
        </w:rPr>
        <w:t>（一）所属研究方向及攻关任务</w:t>
      </w:r>
    </w:p>
    <w:p w14:paraId="40F107FE">
      <w:pPr>
        <w:pStyle w:val="2"/>
        <w:spacing w:before="241" w:line="371" w:lineRule="auto"/>
        <w:ind w:left="32" w:right="90" w:firstLine="557"/>
      </w:pPr>
      <w:r>
        <w:rPr>
          <w:spacing w:val="6"/>
        </w:rPr>
        <w:t>对应随州应急产业院士工作站高层建筑火灾高效灭火方法与灭</w:t>
      </w:r>
      <w:r>
        <w:rPr>
          <w:spacing w:val="-1"/>
        </w:rPr>
        <w:t>火装备研究中适配高层建筑的地面与空中灭火装备任务。</w:t>
      </w:r>
    </w:p>
    <w:p w14:paraId="3AD5E5AA">
      <w:pPr>
        <w:spacing w:before="1" w:line="225" w:lineRule="auto"/>
        <w:ind w:left="693"/>
        <w:outlineLvl w:val="1"/>
        <w:rPr>
          <w:rFonts w:ascii="楷体" w:hAnsi="楷体" w:eastAsia="楷体" w:cs="楷体"/>
          <w:sz w:val="31"/>
          <w:szCs w:val="31"/>
        </w:rPr>
      </w:pPr>
      <w:r>
        <w:rPr>
          <w:rFonts w:ascii="楷体" w:hAnsi="楷体" w:eastAsia="楷体" w:cs="楷体"/>
          <w:spacing w:val="3"/>
          <w:sz w:val="31"/>
          <w:szCs w:val="31"/>
        </w:rPr>
        <w:t>（二）必要性</w:t>
      </w:r>
    </w:p>
    <w:p w14:paraId="77569E19">
      <w:pPr>
        <w:pStyle w:val="2"/>
        <w:spacing w:before="238" w:line="382" w:lineRule="auto"/>
        <w:ind w:left="20" w:firstLine="576"/>
        <w:jc w:val="both"/>
      </w:pPr>
      <w:r>
        <w:rPr>
          <w:spacing w:val="6"/>
        </w:rPr>
        <w:t>普通水罐消防车和举高喷射消防车分别是常规火灾</w:t>
      </w:r>
      <w:r>
        <w:rPr>
          <w:spacing w:val="5"/>
        </w:rPr>
        <w:t>扑救与高层</w:t>
      </w:r>
      <w:r>
        <w:rPr>
          <w:spacing w:val="-4"/>
        </w:rPr>
        <w:t>建筑火灾外部攻坚的主力装备。水罐消防车既可独立灭火，也可作为</w:t>
      </w:r>
      <w:r>
        <w:rPr>
          <w:spacing w:val="-3"/>
        </w:rPr>
        <w:t>供液保障车辆为举高车供液，两者具有协同应用</w:t>
      </w:r>
      <w:r>
        <w:rPr>
          <w:spacing w:val="-4"/>
        </w:rPr>
        <w:t>基础。现役水罐消防车多以水灭火，受水附着滞留与持续抑制能力有限等制约，灭火效率不高；举高喷射消防车高空喷射水时，受臂架管路能量损失、高空风</w:t>
      </w:r>
      <w:r>
        <w:rPr>
          <w:spacing w:val="-1"/>
        </w:rPr>
        <w:t>场和热气流扰动影响，射流易破碎、漂移，高空有效投送能力不足。</w:t>
      </w:r>
      <w:r>
        <w:rPr>
          <w:spacing w:val="-3"/>
        </w:rPr>
        <w:t>高效灭火剂具有增强灭火介质的润湿附着、持</w:t>
      </w:r>
      <w:r>
        <w:rPr>
          <w:spacing w:val="-4"/>
        </w:rPr>
        <w:t>续抑燃和远射保液能力</w:t>
      </w:r>
      <w:r>
        <w:rPr>
          <w:spacing w:val="-3"/>
        </w:rPr>
        <w:t>的潜力。将均质混合装置集成于水罐消防车，混</w:t>
      </w:r>
      <w:r>
        <w:rPr>
          <w:spacing w:val="-4"/>
        </w:rPr>
        <w:t>合液既可由改装水罐</w:t>
      </w:r>
      <w:r>
        <w:rPr>
          <w:spacing w:val="-3"/>
        </w:rPr>
        <w:t>车直接喷射，也可供给举高喷射消防车，有望通</w:t>
      </w:r>
      <w:r>
        <w:rPr>
          <w:spacing w:val="-4"/>
        </w:rPr>
        <w:t>过一台改装样车实现</w:t>
      </w:r>
      <w:r>
        <w:rPr>
          <w:spacing w:val="-3"/>
        </w:rPr>
        <w:t>两类现役装备提质，但仍面临如下问题：</w:t>
      </w:r>
    </w:p>
    <w:p w14:paraId="5976B99C">
      <w:pPr>
        <w:pStyle w:val="2"/>
        <w:spacing w:before="3" w:line="379" w:lineRule="auto"/>
        <w:ind w:left="26" w:right="86" w:firstLine="579"/>
      </w:pPr>
      <w:r>
        <w:rPr>
          <w:rFonts w:ascii="Times New Roman" w:hAnsi="Times New Roman" w:eastAsia="Times New Roman" w:cs="Times New Roman"/>
        </w:rPr>
        <w:t>1</w:t>
      </w:r>
      <w:r>
        <w:t>）均质混合方面，灭火剂黏度特性、宽混合比调节与消防车大</w:t>
      </w:r>
      <w:r>
        <w:rPr>
          <w:spacing w:val="-4"/>
        </w:rPr>
        <w:t>流量供水工况相互耦合，火场实时混配喷射时易出现混合比偏差和混</w:t>
      </w:r>
      <w:r>
        <w:rPr>
          <w:spacing w:val="-3"/>
        </w:rPr>
        <w:t>合不均；</w:t>
      </w:r>
    </w:p>
    <w:p w14:paraId="335558BD">
      <w:pPr>
        <w:pStyle w:val="2"/>
        <w:spacing w:before="18" w:line="379" w:lineRule="auto"/>
        <w:ind w:left="28" w:right="83" w:firstLine="550"/>
      </w:pPr>
      <w:r>
        <w:rPr>
          <w:rFonts w:ascii="Times New Roman" w:hAnsi="Times New Roman" w:eastAsia="Times New Roman" w:cs="Times New Roman"/>
          <w:spacing w:val="1"/>
        </w:rPr>
        <w:t>2</w:t>
      </w:r>
      <w:r>
        <w:rPr>
          <w:spacing w:val="1"/>
        </w:rPr>
        <w:t>）灭火效能提升方面，高效灭火剂与消防车大流量喷射工况的</w:t>
      </w:r>
      <w:r>
        <w:rPr>
          <w:spacing w:val="-4"/>
        </w:rPr>
        <w:t>适配规律尚不明确，其相较水在水罐车灭火增效、举高车射流增程方</w:t>
      </w:r>
      <w:r>
        <w:rPr>
          <w:spacing w:val="-5"/>
        </w:rPr>
        <w:t>面的提升效果亟待验证。</w:t>
      </w:r>
    </w:p>
    <w:p w14:paraId="7B12C214">
      <w:pPr>
        <w:spacing w:line="379" w:lineRule="auto"/>
        <w:sectPr>
          <w:pgSz w:w="11907" w:h="16839"/>
          <w:pgMar w:top="1431" w:right="1714" w:bottom="0" w:left="1785" w:header="0" w:footer="0" w:gutter="0"/>
          <w:cols w:space="720" w:num="1"/>
        </w:sectPr>
      </w:pPr>
    </w:p>
    <w:p w14:paraId="4E72C24E">
      <w:pPr>
        <w:pStyle w:val="2"/>
        <w:spacing w:before="234" w:line="375" w:lineRule="auto"/>
        <w:ind w:left="17" w:firstLine="582"/>
        <w:jc w:val="both"/>
      </w:pPr>
      <w:r>
        <w:rPr>
          <w:rFonts w:hint="eastAsia"/>
          <w:spacing w:val="-7"/>
          <w:lang w:eastAsia="zh-CN"/>
        </w:rPr>
        <w:t>亟须</w:t>
      </w:r>
      <w:r>
        <w:rPr>
          <w:spacing w:val="-7"/>
        </w:rPr>
        <w:t>开展灭火剂灭火增效、射流增程及均质混合等关键技术研究，</w:t>
      </w:r>
      <w:r>
        <w:rPr>
          <w:spacing w:val="-3"/>
        </w:rPr>
        <w:t>研制水罐消防车改装样车，为两类现役消防车</w:t>
      </w:r>
      <w:r>
        <w:rPr>
          <w:spacing w:val="-4"/>
        </w:rPr>
        <w:t>灭火效能提升提供技术</w:t>
      </w:r>
      <w:r>
        <w:rPr>
          <w:spacing w:val="-5"/>
        </w:rPr>
        <w:t>与装备支撑。</w:t>
      </w:r>
    </w:p>
    <w:p w14:paraId="11E11E9C">
      <w:pPr>
        <w:spacing w:before="1" w:line="222" w:lineRule="auto"/>
        <w:ind w:left="693"/>
        <w:outlineLvl w:val="1"/>
        <w:rPr>
          <w:rFonts w:ascii="楷体" w:hAnsi="楷体" w:eastAsia="楷体" w:cs="楷体"/>
          <w:sz w:val="31"/>
          <w:szCs w:val="31"/>
        </w:rPr>
      </w:pPr>
      <w:r>
        <w:rPr>
          <w:rFonts w:ascii="楷体" w:hAnsi="楷体" w:eastAsia="楷体" w:cs="楷体"/>
          <w:spacing w:val="3"/>
          <w:sz w:val="31"/>
          <w:szCs w:val="31"/>
        </w:rPr>
        <w:t>（三）研究内容</w:t>
      </w:r>
    </w:p>
    <w:p w14:paraId="68BE618C">
      <w:pPr>
        <w:pStyle w:val="2"/>
        <w:spacing w:before="235" w:line="383" w:lineRule="auto"/>
        <w:ind w:left="28" w:right="209" w:firstLine="550"/>
        <w:jc w:val="both"/>
      </w:pPr>
      <w:r>
        <w:rPr>
          <w:spacing w:val="6"/>
        </w:rPr>
        <w:t>针对普通水罐消防车和举高喷射消防车灭火效能及高空有效投</w:t>
      </w:r>
      <w:r>
        <w:rPr>
          <w:spacing w:val="-4"/>
        </w:rPr>
        <w:t>送能力提升需求，以高效灭火剂应用为核心，开展灭火增效与射流增程及均质混合等关键技术研究，研制水罐消防车改装样车并开展示范</w:t>
      </w:r>
      <w:r>
        <w:rPr>
          <w:spacing w:val="-2"/>
        </w:rPr>
        <w:t>应用。具体包括：</w:t>
      </w:r>
    </w:p>
    <w:p w14:paraId="2FB49A63">
      <w:pPr>
        <w:pStyle w:val="2"/>
        <w:spacing w:before="1" w:line="228" w:lineRule="auto"/>
        <w:ind w:left="606"/>
      </w:pPr>
      <w:r>
        <w:rPr>
          <w:rFonts w:ascii="Times New Roman" w:hAnsi="Times New Roman" w:eastAsia="Times New Roman" w:cs="Times New Roman"/>
          <w:spacing w:val="-4"/>
        </w:rPr>
        <w:t>1</w:t>
      </w:r>
      <w:r>
        <w:rPr>
          <w:spacing w:val="-4"/>
        </w:rPr>
        <w:t>）灭火剂灭火增效与射流增程技术研究；</w:t>
      </w:r>
    </w:p>
    <w:p w14:paraId="784F9882">
      <w:pPr>
        <w:pStyle w:val="2"/>
        <w:spacing w:before="233" w:line="230" w:lineRule="auto"/>
        <w:ind w:left="579"/>
      </w:pPr>
      <w:r>
        <w:rPr>
          <w:rFonts w:ascii="Times New Roman" w:hAnsi="Times New Roman" w:eastAsia="Times New Roman" w:cs="Times New Roman"/>
          <w:spacing w:val="-1"/>
        </w:rPr>
        <w:t>2</w:t>
      </w:r>
      <w:r>
        <w:rPr>
          <w:spacing w:val="-1"/>
        </w:rPr>
        <w:t>）灭火剂均质混合技术与装置研究；</w:t>
      </w:r>
    </w:p>
    <w:p w14:paraId="1A4A0534">
      <w:pPr>
        <w:pStyle w:val="2"/>
        <w:spacing w:before="229" w:line="229" w:lineRule="auto"/>
        <w:ind w:left="585"/>
      </w:pPr>
      <w:r>
        <w:rPr>
          <w:rFonts w:ascii="Times New Roman" w:hAnsi="Times New Roman" w:eastAsia="Times New Roman" w:cs="Times New Roman"/>
          <w:spacing w:val="-3"/>
        </w:rPr>
        <w:t>3</w:t>
      </w:r>
      <w:r>
        <w:rPr>
          <w:spacing w:val="-3"/>
        </w:rPr>
        <w:t>）水罐消防车改装样车研制与示范应用研究。</w:t>
      </w:r>
    </w:p>
    <w:p w14:paraId="71AFA283">
      <w:pPr>
        <w:spacing w:before="201" w:line="225" w:lineRule="auto"/>
        <w:ind w:left="693"/>
        <w:outlineLvl w:val="1"/>
        <w:rPr>
          <w:rFonts w:ascii="楷体" w:hAnsi="楷体" w:eastAsia="楷体" w:cs="楷体"/>
          <w:sz w:val="31"/>
          <w:szCs w:val="31"/>
        </w:rPr>
      </w:pPr>
      <w:r>
        <w:rPr>
          <w:rFonts w:ascii="楷体" w:hAnsi="楷体" w:eastAsia="楷体" w:cs="楷体"/>
          <w:spacing w:val="4"/>
          <w:sz w:val="31"/>
          <w:szCs w:val="31"/>
        </w:rPr>
        <w:t>（四）考核指标</w:t>
      </w:r>
    </w:p>
    <w:p w14:paraId="35BA73C1">
      <w:pPr>
        <w:pStyle w:val="2"/>
        <w:spacing w:before="235" w:line="380" w:lineRule="auto"/>
        <w:ind w:left="22" w:right="210" w:firstLine="584"/>
      </w:pPr>
      <w:r>
        <w:rPr>
          <w:rFonts w:ascii="Times New Roman" w:hAnsi="Times New Roman" w:eastAsia="Times New Roman" w:cs="Times New Roman"/>
          <w:spacing w:val="-7"/>
        </w:rPr>
        <w:t>1</w:t>
      </w:r>
      <w:r>
        <w:rPr>
          <w:spacing w:val="-7"/>
        </w:rPr>
        <w:t>）添加灭火剂后，同工况下，水罐消防车灭火效率提升至水的</w:t>
      </w:r>
      <w:r>
        <w:rPr>
          <w:rFonts w:ascii="Times New Roman" w:hAnsi="Times New Roman" w:eastAsia="Times New Roman" w:cs="Times New Roman"/>
          <w:spacing w:val="-7"/>
        </w:rPr>
        <w:t>2</w:t>
      </w:r>
      <w:r>
        <w:rPr>
          <w:spacing w:val="-1"/>
        </w:rPr>
        <w:t>倍；举高喷射消防车射程较水提升≥</w:t>
      </w:r>
      <w:r>
        <w:rPr>
          <w:rFonts w:ascii="Times New Roman" w:hAnsi="Times New Roman" w:eastAsia="Times New Roman" w:cs="Times New Roman"/>
          <w:spacing w:val="-1"/>
        </w:rPr>
        <w:t>20%</w:t>
      </w:r>
      <w:r>
        <w:rPr>
          <w:spacing w:val="-1"/>
        </w:rPr>
        <w:t>；</w:t>
      </w:r>
    </w:p>
    <w:p w14:paraId="61435598">
      <w:pPr>
        <w:pStyle w:val="2"/>
        <w:spacing w:before="6" w:line="382" w:lineRule="auto"/>
        <w:ind w:left="37" w:right="209" w:firstLine="541"/>
      </w:pPr>
      <w:r>
        <w:rPr>
          <w:rFonts w:ascii="Times New Roman" w:hAnsi="Times New Roman" w:eastAsia="Times New Roman" w:cs="Times New Roman"/>
          <w:spacing w:val="-3"/>
        </w:rPr>
        <w:t>2</w:t>
      </w:r>
      <w:r>
        <w:rPr>
          <w:spacing w:val="-3"/>
        </w:rPr>
        <w:t>）车载均质混合装置</w:t>
      </w:r>
      <w:r>
        <w:rPr>
          <w:rFonts w:ascii="Times New Roman" w:hAnsi="Times New Roman" w:eastAsia="Times New Roman" w:cs="Times New Roman"/>
          <w:spacing w:val="-3"/>
        </w:rPr>
        <w:t>1</w:t>
      </w:r>
      <w:r>
        <w:rPr>
          <w:spacing w:val="-3"/>
        </w:rPr>
        <w:t>套，混合比</w:t>
      </w:r>
      <w:r>
        <w:rPr>
          <w:rFonts w:ascii="Times New Roman" w:hAnsi="Times New Roman" w:eastAsia="Times New Roman" w:cs="Times New Roman"/>
          <w:spacing w:val="-3"/>
        </w:rPr>
        <w:t>3%</w:t>
      </w:r>
      <w:r>
        <w:rPr>
          <w:spacing w:val="-3"/>
        </w:rPr>
        <w:t>～</w:t>
      </w:r>
      <w:r>
        <w:rPr>
          <w:rFonts w:ascii="Times New Roman" w:hAnsi="Times New Roman" w:eastAsia="Times New Roman" w:cs="Times New Roman"/>
          <w:spacing w:val="-3"/>
        </w:rPr>
        <w:t>6%</w:t>
      </w:r>
      <w:r>
        <w:rPr>
          <w:spacing w:val="-3"/>
        </w:rPr>
        <w:t>可调，适配消防车主水流量</w:t>
      </w:r>
      <w:r>
        <w:rPr>
          <w:rFonts w:ascii="Times New Roman" w:hAnsi="Times New Roman" w:eastAsia="Times New Roman" w:cs="Times New Roman"/>
          <w:spacing w:val="-3"/>
        </w:rPr>
        <w:t>60</w:t>
      </w:r>
      <w:r>
        <w:rPr>
          <w:spacing w:val="-3"/>
        </w:rPr>
        <w:t>～</w:t>
      </w:r>
      <w:r>
        <w:rPr>
          <w:rFonts w:ascii="Times New Roman" w:hAnsi="Times New Roman" w:eastAsia="Times New Roman" w:cs="Times New Roman"/>
          <w:spacing w:val="-3"/>
        </w:rPr>
        <w:t>100L/s</w:t>
      </w:r>
      <w:r>
        <w:rPr>
          <w:spacing w:val="-3"/>
        </w:rPr>
        <w:t>；</w:t>
      </w:r>
    </w:p>
    <w:p w14:paraId="41FC6E84">
      <w:pPr>
        <w:pStyle w:val="2"/>
        <w:spacing w:before="2" w:line="372" w:lineRule="auto"/>
        <w:ind w:left="34" w:right="273" w:firstLine="550"/>
      </w:pPr>
      <w:r>
        <w:rPr>
          <w:rFonts w:ascii="Times New Roman" w:hAnsi="Times New Roman" w:eastAsia="Times New Roman" w:cs="Times New Roman"/>
          <w:spacing w:val="-7"/>
        </w:rPr>
        <w:t>3</w:t>
      </w:r>
      <w:r>
        <w:rPr>
          <w:spacing w:val="-7"/>
        </w:rPr>
        <w:t>）整车长≤</w:t>
      </w:r>
      <w:r>
        <w:rPr>
          <w:spacing w:val="-108"/>
        </w:rPr>
        <w:t xml:space="preserve"> </w:t>
      </w:r>
      <w:r>
        <w:rPr>
          <w:rFonts w:ascii="Times New Roman" w:hAnsi="Times New Roman" w:eastAsia="Times New Roman" w:cs="Times New Roman"/>
          <w:spacing w:val="-7"/>
        </w:rPr>
        <w:t>10.5m</w:t>
      </w:r>
      <w:r>
        <w:rPr>
          <w:spacing w:val="-7"/>
        </w:rPr>
        <w:t>、宽≤</w:t>
      </w:r>
      <w:r>
        <w:rPr>
          <w:rFonts w:ascii="Times New Roman" w:hAnsi="Times New Roman" w:eastAsia="Times New Roman" w:cs="Times New Roman"/>
          <w:spacing w:val="-7"/>
        </w:rPr>
        <w:t>2.55m</w:t>
      </w:r>
      <w:r>
        <w:rPr>
          <w:spacing w:val="-7"/>
        </w:rPr>
        <w:t>、高≤</w:t>
      </w:r>
      <w:r>
        <w:rPr>
          <w:rFonts w:ascii="Times New Roman" w:hAnsi="Times New Roman" w:eastAsia="Times New Roman" w:cs="Times New Roman"/>
          <w:spacing w:val="-7"/>
        </w:rPr>
        <w:t>3.</w:t>
      </w:r>
      <w:r>
        <w:rPr>
          <w:rFonts w:ascii="Times New Roman" w:hAnsi="Times New Roman" w:eastAsia="Times New Roman" w:cs="Times New Roman"/>
          <w:spacing w:val="-8"/>
        </w:rPr>
        <w:t>85m</w:t>
      </w:r>
      <w:r>
        <w:rPr>
          <w:spacing w:val="-8"/>
        </w:rPr>
        <w:t>，罐体容积≥</w:t>
      </w:r>
      <w:r>
        <w:rPr>
          <w:spacing w:val="-109"/>
        </w:rPr>
        <w:t xml:space="preserve"> </w:t>
      </w:r>
      <w:r>
        <w:rPr>
          <w:rFonts w:ascii="Times New Roman" w:hAnsi="Times New Roman" w:eastAsia="Times New Roman" w:cs="Times New Roman"/>
          <w:spacing w:val="-8"/>
        </w:rPr>
        <w:t>12m</w:t>
      </w:r>
      <w:r>
        <w:rPr>
          <w:rFonts w:ascii="Times New Roman" w:hAnsi="Times New Roman" w:eastAsia="Times New Roman" w:cs="Times New Roman"/>
          <w:spacing w:val="-8"/>
          <w:position w:val="9"/>
          <w:sz w:val="18"/>
          <w:szCs w:val="18"/>
        </w:rPr>
        <w:t>3</w:t>
      </w:r>
      <w:r>
        <w:rPr>
          <w:spacing w:val="-8"/>
        </w:rPr>
        <w:t>，</w:t>
      </w:r>
      <w:r>
        <w:rPr>
          <w:spacing w:val="-4"/>
        </w:rPr>
        <w:t>消防泵流量≥</w:t>
      </w:r>
      <w:r>
        <w:rPr>
          <w:spacing w:val="-109"/>
        </w:rPr>
        <w:t xml:space="preserve"> </w:t>
      </w:r>
      <w:r>
        <w:rPr>
          <w:rFonts w:ascii="Times New Roman" w:hAnsi="Times New Roman" w:eastAsia="Times New Roman" w:cs="Times New Roman"/>
          <w:spacing w:val="-4"/>
        </w:rPr>
        <w:t>100L/s</w:t>
      </w:r>
      <w:r>
        <w:rPr>
          <w:spacing w:val="-4"/>
        </w:rPr>
        <w:t>；</w:t>
      </w:r>
    </w:p>
    <w:p w14:paraId="2B6C8812">
      <w:pPr>
        <w:pStyle w:val="2"/>
        <w:spacing w:before="34" w:line="375" w:lineRule="auto"/>
        <w:ind w:left="28" w:right="212" w:firstLine="549"/>
      </w:pPr>
      <w:r>
        <w:rPr>
          <w:rFonts w:ascii="Times New Roman" w:hAnsi="Times New Roman" w:eastAsia="Times New Roman" w:cs="Times New Roman"/>
          <w:spacing w:val="-2"/>
        </w:rPr>
        <w:t>4</w:t>
      </w:r>
      <w:r>
        <w:rPr>
          <w:spacing w:val="-2"/>
        </w:rPr>
        <w:t>）混合装置研制方案报告、水罐消防车改装方案报告各</w:t>
      </w:r>
      <w:r>
        <w:rPr>
          <w:rFonts w:ascii="Times New Roman" w:hAnsi="Times New Roman" w:eastAsia="Times New Roman" w:cs="Times New Roman"/>
          <w:spacing w:val="-3"/>
        </w:rPr>
        <w:t>1</w:t>
      </w:r>
      <w:r>
        <w:rPr>
          <w:spacing w:val="-3"/>
        </w:rPr>
        <w:t>份，</w:t>
      </w:r>
      <w:r>
        <w:rPr>
          <w:spacing w:val="-5"/>
        </w:rPr>
        <w:t>样车</w:t>
      </w:r>
      <w:r>
        <w:rPr>
          <w:rFonts w:ascii="Times New Roman" w:hAnsi="Times New Roman" w:eastAsia="Times New Roman" w:cs="Times New Roman"/>
          <w:spacing w:val="-5"/>
        </w:rPr>
        <w:t>1</w:t>
      </w:r>
      <w:r>
        <w:rPr>
          <w:spacing w:val="-5"/>
        </w:rPr>
        <w:t>台；联合消防救援支队完成≥</w:t>
      </w:r>
      <w:r>
        <w:rPr>
          <w:rFonts w:ascii="Times New Roman" w:hAnsi="Times New Roman" w:eastAsia="Times New Roman" w:cs="Times New Roman"/>
          <w:spacing w:val="-5"/>
        </w:rPr>
        <w:t>2</w:t>
      </w:r>
      <w:r>
        <w:rPr>
          <w:spacing w:val="-5"/>
        </w:rPr>
        <w:t>次演练并开展示范应用，形成</w:t>
      </w:r>
      <w:r>
        <w:rPr>
          <w:spacing w:val="-8"/>
        </w:rPr>
        <w:t>示范应用报告</w:t>
      </w:r>
      <w:r>
        <w:rPr>
          <w:rFonts w:ascii="Times New Roman" w:hAnsi="Times New Roman" w:eastAsia="Times New Roman" w:cs="Times New Roman"/>
          <w:spacing w:val="-8"/>
        </w:rPr>
        <w:t>1</w:t>
      </w:r>
      <w:r>
        <w:rPr>
          <w:spacing w:val="-8"/>
        </w:rPr>
        <w:t>份。</w:t>
      </w:r>
    </w:p>
    <w:p w14:paraId="37A6DDB3">
      <w:pPr>
        <w:spacing w:before="1" w:line="227" w:lineRule="auto"/>
        <w:ind w:left="693"/>
        <w:outlineLvl w:val="1"/>
        <w:rPr>
          <w:rFonts w:ascii="楷体" w:hAnsi="楷体" w:eastAsia="楷体" w:cs="楷体"/>
          <w:sz w:val="31"/>
          <w:szCs w:val="31"/>
        </w:rPr>
      </w:pPr>
      <w:r>
        <w:rPr>
          <w:rFonts w:ascii="楷体" w:hAnsi="楷体" w:eastAsia="楷体" w:cs="楷体"/>
          <w:spacing w:val="-2"/>
          <w:sz w:val="31"/>
          <w:szCs w:val="31"/>
        </w:rPr>
        <w:t>（五）指标说明</w:t>
      </w:r>
    </w:p>
    <w:p w14:paraId="647E3C82">
      <w:pPr>
        <w:pStyle w:val="2"/>
        <w:spacing w:before="230" w:line="381" w:lineRule="auto"/>
        <w:ind w:left="32" w:right="212" w:firstLine="574"/>
      </w:pPr>
      <w:r>
        <w:rPr>
          <w:rFonts w:ascii="Times New Roman" w:hAnsi="Times New Roman" w:eastAsia="Times New Roman" w:cs="Times New Roman"/>
        </w:rPr>
        <w:t>1</w:t>
      </w:r>
      <w:r>
        <w:t>）相同工况下，水罐消防车分别喷射水和灭火剂混合液开展灭</w:t>
      </w:r>
      <w:r>
        <w:rPr>
          <w:spacing w:val="-4"/>
        </w:rPr>
        <w:t>火对比试验，灭火剂混合液的灭火效率提升至水的</w:t>
      </w:r>
      <w:r>
        <w:rPr>
          <w:rFonts w:ascii="Times New Roman" w:hAnsi="Times New Roman" w:eastAsia="Times New Roman" w:cs="Times New Roman"/>
          <w:spacing w:val="-4"/>
        </w:rPr>
        <w:t>2</w:t>
      </w:r>
      <w:r>
        <w:rPr>
          <w:spacing w:val="-4"/>
        </w:rPr>
        <w:t>倍；举高喷射消</w:t>
      </w:r>
    </w:p>
    <w:p w14:paraId="67869FC2">
      <w:pPr>
        <w:spacing w:line="381" w:lineRule="auto"/>
        <w:sectPr>
          <w:pgSz w:w="11907" w:h="16839"/>
          <w:pgMar w:top="1431" w:right="1586" w:bottom="0" w:left="1785" w:header="0" w:footer="0" w:gutter="0"/>
          <w:cols w:space="720" w:num="1"/>
        </w:sectPr>
      </w:pPr>
    </w:p>
    <w:p w14:paraId="76D692F1">
      <w:pPr>
        <w:pStyle w:val="2"/>
        <w:spacing w:before="232" w:line="380" w:lineRule="auto"/>
        <w:ind w:left="14" w:firstLine="35"/>
        <w:jc w:val="both"/>
      </w:pPr>
      <w:r>
        <w:rPr>
          <w:spacing w:val="-4"/>
        </w:rPr>
        <w:t>防车在同车同工况下分别喷射水和灭火剂混合液，射程较水提升≥</w:t>
      </w:r>
      <w:r>
        <w:rPr>
          <w:rFonts w:ascii="Times New Roman" w:hAnsi="Times New Roman" w:eastAsia="Times New Roman" w:cs="Times New Roman"/>
          <w:spacing w:val="-4"/>
        </w:rPr>
        <w:t>20%</w:t>
      </w:r>
      <w:r>
        <w:rPr>
          <w:rFonts w:ascii="Times New Roman" w:hAnsi="Times New Roman" w:eastAsia="Times New Roman" w:cs="Times New Roman"/>
        </w:rPr>
        <w:t xml:space="preserve"> </w:t>
      </w:r>
      <w:r>
        <w:rPr>
          <w:spacing w:val="-3"/>
        </w:rPr>
        <w:t>（</w:t>
      </w:r>
      <w:r>
        <w:rPr>
          <w:rFonts w:ascii="Times New Roman" w:hAnsi="Times New Roman" w:eastAsia="Times New Roman" w:cs="Times New Roman"/>
          <w:spacing w:val="-3"/>
        </w:rPr>
        <w:t>GB</w:t>
      </w:r>
      <w:r>
        <w:rPr>
          <w:rFonts w:ascii="Times New Roman" w:hAnsi="Times New Roman" w:eastAsia="Times New Roman" w:cs="Times New Roman"/>
          <w:spacing w:val="68"/>
        </w:rPr>
        <w:t xml:space="preserve"> </w:t>
      </w:r>
      <w:r>
        <w:rPr>
          <w:rFonts w:ascii="Times New Roman" w:hAnsi="Times New Roman" w:eastAsia="Times New Roman" w:cs="Times New Roman"/>
          <w:spacing w:val="-3"/>
        </w:rPr>
        <w:t>19156-2019</w:t>
      </w:r>
      <w:r>
        <w:rPr>
          <w:spacing w:val="-56"/>
        </w:rPr>
        <w:t>）；</w:t>
      </w:r>
      <w:r>
        <w:rPr>
          <w:spacing w:val="-3"/>
        </w:rPr>
        <w:t>灭火效率指同一火源，相同设备和相同流量下，</w:t>
      </w:r>
    </w:p>
    <w:p w14:paraId="675BC144">
      <w:pPr>
        <w:pStyle w:val="2"/>
        <w:spacing w:before="7" w:line="215" w:lineRule="auto"/>
        <w:ind w:left="24"/>
      </w:pPr>
      <w:r>
        <w:rPr>
          <w:spacing w:val="-1"/>
        </w:rPr>
        <w:t>水灭火时间与混合液灭火时间的比值，比值越大，灭火效率越高；</w:t>
      </w:r>
    </w:p>
    <w:p w14:paraId="0F92F4D2">
      <w:pPr>
        <w:pStyle w:val="2"/>
        <w:spacing w:before="254" w:line="380" w:lineRule="auto"/>
        <w:ind w:left="48" w:right="232" w:firstLine="531"/>
      </w:pPr>
      <w:r>
        <w:rPr>
          <w:rFonts w:ascii="Times New Roman" w:hAnsi="Times New Roman" w:eastAsia="Times New Roman" w:cs="Times New Roman"/>
        </w:rPr>
        <w:t>2</w:t>
      </w:r>
      <w:r>
        <w:t>）混合比为灭火剂体积占混合液总体积的百分比，在</w:t>
      </w:r>
      <w:r>
        <w:rPr>
          <w:rFonts w:ascii="Times New Roman" w:hAnsi="Times New Roman" w:eastAsia="Times New Roman" w:cs="Times New Roman"/>
        </w:rPr>
        <w:t>3</w:t>
      </w:r>
      <w:r>
        <w:rPr>
          <w:rFonts w:ascii="Times New Roman" w:hAnsi="Times New Roman" w:eastAsia="Times New Roman" w:cs="Times New Roman"/>
          <w:spacing w:val="-1"/>
        </w:rPr>
        <w:t>%</w:t>
      </w:r>
      <w:r>
        <w:rPr>
          <w:spacing w:val="-1"/>
        </w:rPr>
        <w:t>～</w:t>
      </w:r>
      <w:r>
        <w:rPr>
          <w:rFonts w:ascii="Times New Roman" w:hAnsi="Times New Roman" w:eastAsia="Times New Roman" w:cs="Times New Roman"/>
          <w:spacing w:val="-1"/>
        </w:rPr>
        <w:t>6%</w:t>
      </w:r>
      <w:r>
        <w:rPr>
          <w:spacing w:val="-2"/>
        </w:rPr>
        <w:t>范围内连续可调，适配消防车主水流量</w:t>
      </w:r>
      <w:r>
        <w:rPr>
          <w:rFonts w:ascii="Times New Roman" w:hAnsi="Times New Roman" w:eastAsia="Times New Roman" w:cs="Times New Roman"/>
          <w:spacing w:val="-2"/>
        </w:rPr>
        <w:t>60</w:t>
      </w:r>
      <w:r>
        <w:rPr>
          <w:spacing w:val="-2"/>
        </w:rPr>
        <w:t>～</w:t>
      </w:r>
      <w:r>
        <w:rPr>
          <w:rFonts w:ascii="Times New Roman" w:hAnsi="Times New Roman" w:eastAsia="Times New Roman" w:cs="Times New Roman"/>
          <w:spacing w:val="-2"/>
        </w:rPr>
        <w:t>100L/s</w:t>
      </w:r>
      <w:r>
        <w:rPr>
          <w:spacing w:val="-2"/>
        </w:rPr>
        <w:t>；</w:t>
      </w:r>
    </w:p>
    <w:p w14:paraId="7F6C1538">
      <w:pPr>
        <w:pStyle w:val="2"/>
        <w:spacing w:before="7" w:line="381" w:lineRule="auto"/>
        <w:ind w:left="34" w:right="295" w:firstLine="550"/>
      </w:pPr>
      <w:r>
        <w:rPr>
          <w:rFonts w:ascii="Times New Roman" w:hAnsi="Times New Roman" w:eastAsia="Times New Roman" w:cs="Times New Roman"/>
          <w:spacing w:val="-2"/>
        </w:rPr>
        <w:t>3</w:t>
      </w:r>
      <w:r>
        <w:rPr>
          <w:spacing w:val="-2"/>
        </w:rPr>
        <w:t>）整车长≤</w:t>
      </w:r>
      <w:r>
        <w:rPr>
          <w:spacing w:val="-108"/>
        </w:rPr>
        <w:t xml:space="preserve"> </w:t>
      </w:r>
      <w:r>
        <w:rPr>
          <w:rFonts w:ascii="Times New Roman" w:hAnsi="Times New Roman" w:eastAsia="Times New Roman" w:cs="Times New Roman"/>
          <w:spacing w:val="-2"/>
        </w:rPr>
        <w:t>10.5m</w:t>
      </w:r>
      <w:r>
        <w:rPr>
          <w:spacing w:val="-2"/>
        </w:rPr>
        <w:t>、宽≤</w:t>
      </w:r>
      <w:r>
        <w:rPr>
          <w:rFonts w:ascii="Times New Roman" w:hAnsi="Times New Roman" w:eastAsia="Times New Roman" w:cs="Times New Roman"/>
          <w:spacing w:val="-2"/>
        </w:rPr>
        <w:t>2.55m</w:t>
      </w:r>
      <w:r>
        <w:rPr>
          <w:spacing w:val="-2"/>
        </w:rPr>
        <w:t>、高≤</w:t>
      </w:r>
      <w:r>
        <w:rPr>
          <w:rFonts w:ascii="Times New Roman" w:hAnsi="Times New Roman" w:eastAsia="Times New Roman" w:cs="Times New Roman"/>
          <w:spacing w:val="-2"/>
        </w:rPr>
        <w:t>3.85m</w:t>
      </w:r>
      <w:r>
        <w:rPr>
          <w:spacing w:val="-2"/>
        </w:rPr>
        <w:t>（</w:t>
      </w:r>
      <w:r>
        <w:rPr>
          <w:rFonts w:ascii="Times New Roman" w:hAnsi="Times New Roman" w:eastAsia="Times New Roman" w:cs="Times New Roman"/>
          <w:spacing w:val="-2"/>
        </w:rPr>
        <w:t>GB</w:t>
      </w:r>
      <w:r>
        <w:rPr>
          <w:rFonts w:ascii="Times New Roman" w:hAnsi="Times New Roman" w:eastAsia="Times New Roman" w:cs="Times New Roman"/>
          <w:spacing w:val="60"/>
          <w:w w:val="101"/>
        </w:rPr>
        <w:t xml:space="preserve"> </w:t>
      </w:r>
      <w:r>
        <w:rPr>
          <w:rFonts w:ascii="Times New Roman" w:hAnsi="Times New Roman" w:eastAsia="Times New Roman" w:cs="Times New Roman"/>
          <w:spacing w:val="-2"/>
        </w:rPr>
        <w:t>1589-2016</w:t>
      </w:r>
      <w:r>
        <w:rPr>
          <w:spacing w:val="-98"/>
        </w:rPr>
        <w:t>），</w:t>
      </w:r>
      <w:r>
        <w:rPr>
          <w:spacing w:val="-3"/>
        </w:rPr>
        <w:t>罐体容积≥</w:t>
      </w:r>
      <w:r>
        <w:rPr>
          <w:spacing w:val="-106"/>
        </w:rPr>
        <w:t xml:space="preserve"> </w:t>
      </w:r>
      <w:r>
        <w:rPr>
          <w:rFonts w:ascii="Times New Roman" w:hAnsi="Times New Roman" w:eastAsia="Times New Roman" w:cs="Times New Roman"/>
          <w:spacing w:val="-3"/>
        </w:rPr>
        <w:t>12m</w:t>
      </w:r>
      <w:r>
        <w:rPr>
          <w:rFonts w:ascii="Times New Roman" w:hAnsi="Times New Roman" w:eastAsia="Times New Roman" w:cs="Times New Roman"/>
          <w:spacing w:val="-3"/>
          <w:position w:val="9"/>
          <w:sz w:val="18"/>
          <w:szCs w:val="18"/>
        </w:rPr>
        <w:t>3</w:t>
      </w:r>
      <w:r>
        <w:rPr>
          <w:spacing w:val="-3"/>
        </w:rPr>
        <w:t>（</w:t>
      </w:r>
      <w:r>
        <w:rPr>
          <w:rFonts w:ascii="Times New Roman" w:hAnsi="Times New Roman" w:eastAsia="Times New Roman" w:cs="Times New Roman"/>
          <w:spacing w:val="-3"/>
        </w:rPr>
        <w:t>GB 7956.1-2025</w:t>
      </w:r>
      <w:r>
        <w:rPr>
          <w:spacing w:val="-57"/>
        </w:rPr>
        <w:t>），</w:t>
      </w:r>
      <w:r>
        <w:rPr>
          <w:spacing w:val="-3"/>
        </w:rPr>
        <w:t>消防泵流量≥</w:t>
      </w:r>
      <w:r>
        <w:rPr>
          <w:spacing w:val="-109"/>
        </w:rPr>
        <w:t xml:space="preserve"> </w:t>
      </w:r>
      <w:r>
        <w:rPr>
          <w:rFonts w:ascii="Times New Roman" w:hAnsi="Times New Roman" w:eastAsia="Times New Roman" w:cs="Times New Roman"/>
          <w:spacing w:val="-3"/>
        </w:rPr>
        <w:t>100L/s</w:t>
      </w:r>
      <w:r>
        <w:rPr>
          <w:spacing w:val="-3"/>
        </w:rPr>
        <w:t>；</w:t>
      </w:r>
    </w:p>
    <w:p w14:paraId="0C3EA4D7">
      <w:pPr>
        <w:pStyle w:val="2"/>
        <w:spacing w:before="7" w:line="379" w:lineRule="auto"/>
        <w:ind w:left="19" w:right="151" w:firstLine="559"/>
      </w:pPr>
      <w:r>
        <w:rPr>
          <w:rFonts w:ascii="Times New Roman" w:hAnsi="Times New Roman" w:eastAsia="Times New Roman" w:cs="Times New Roman"/>
        </w:rPr>
        <w:t>4</w:t>
      </w:r>
      <w:r>
        <w:t>）混合装置研制方案报告应明确研制目标、主要技术指标、总</w:t>
      </w:r>
      <w:r>
        <w:rPr>
          <w:spacing w:val="-3"/>
        </w:rPr>
        <w:t>体方案、大流量均质混合与混合比调控、原</w:t>
      </w:r>
      <w:r>
        <w:rPr>
          <w:spacing w:val="-4"/>
        </w:rPr>
        <w:t>车系统适配、安全控制及</w:t>
      </w:r>
      <w:r>
        <w:rPr>
          <w:spacing w:val="-3"/>
        </w:rPr>
        <w:t>试验验证方案；水罐消防车改装方案报告应</w:t>
      </w:r>
      <w:r>
        <w:rPr>
          <w:spacing w:val="-4"/>
        </w:rPr>
        <w:t>明确改装目标、主要技术</w:t>
      </w:r>
      <w:r>
        <w:rPr>
          <w:spacing w:val="-3"/>
        </w:rPr>
        <w:t>指标、整车总体布局、混合装置装车布置与</w:t>
      </w:r>
      <w:r>
        <w:rPr>
          <w:spacing w:val="-4"/>
        </w:rPr>
        <w:t>整车匹配、样车改装及两</w:t>
      </w:r>
      <w:r>
        <w:rPr>
          <w:spacing w:val="-2"/>
        </w:rPr>
        <w:t>类车辆提质试验验证方案；联合消防救援支队开展≥</w:t>
      </w:r>
      <w:r>
        <w:rPr>
          <w:rFonts w:ascii="Times New Roman" w:hAnsi="Times New Roman" w:eastAsia="Times New Roman" w:cs="Times New Roman"/>
          <w:spacing w:val="-2"/>
        </w:rPr>
        <w:t>2</w:t>
      </w:r>
      <w:r>
        <w:rPr>
          <w:spacing w:val="-2"/>
        </w:rPr>
        <w:t>次演练，其中</w:t>
      </w:r>
      <w:r>
        <w:rPr>
          <w:spacing w:val="-3"/>
        </w:rPr>
        <w:t>水罐消防车灭火增效性能验证、举高喷射消</w:t>
      </w:r>
      <w:r>
        <w:rPr>
          <w:spacing w:val="-4"/>
        </w:rPr>
        <w:t>防车高空射流增程效果验</w:t>
      </w:r>
      <w:r>
        <w:rPr>
          <w:spacing w:val="-9"/>
        </w:rPr>
        <w:t>证各≥</w:t>
      </w:r>
      <w:r>
        <w:rPr>
          <w:spacing w:val="-93"/>
        </w:rPr>
        <w:t xml:space="preserve"> </w:t>
      </w:r>
      <w:r>
        <w:rPr>
          <w:rFonts w:ascii="Times New Roman" w:hAnsi="Times New Roman" w:eastAsia="Times New Roman" w:cs="Times New Roman"/>
          <w:spacing w:val="-9"/>
        </w:rPr>
        <w:t>1</w:t>
      </w:r>
      <w:r>
        <w:rPr>
          <w:spacing w:val="-9"/>
        </w:rPr>
        <w:t>次；改装样车在不少于</w:t>
      </w:r>
      <w:r>
        <w:rPr>
          <w:rFonts w:ascii="Times New Roman" w:hAnsi="Times New Roman" w:eastAsia="Times New Roman" w:cs="Times New Roman"/>
          <w:spacing w:val="-9"/>
        </w:rPr>
        <w:t>1</w:t>
      </w:r>
      <w:r>
        <w:rPr>
          <w:spacing w:val="-9"/>
        </w:rPr>
        <w:t>支消防救援支队开展驻队示范应用。</w:t>
      </w:r>
    </w:p>
    <w:p w14:paraId="15159D04">
      <w:pPr>
        <w:spacing w:line="230" w:lineRule="auto"/>
        <w:ind w:left="693"/>
        <w:outlineLvl w:val="1"/>
        <w:rPr>
          <w:rFonts w:ascii="楷体" w:hAnsi="楷体" w:eastAsia="楷体" w:cs="楷体"/>
          <w:sz w:val="31"/>
          <w:szCs w:val="31"/>
        </w:rPr>
      </w:pPr>
      <w:r>
        <w:rPr>
          <w:rFonts w:ascii="楷体" w:hAnsi="楷体" w:eastAsia="楷体" w:cs="楷体"/>
          <w:spacing w:val="-2"/>
          <w:sz w:val="31"/>
          <w:szCs w:val="31"/>
        </w:rPr>
        <w:t>（六）关键词</w:t>
      </w:r>
    </w:p>
    <w:p w14:paraId="6B683021">
      <w:pPr>
        <w:pStyle w:val="2"/>
        <w:spacing w:before="229" w:line="371" w:lineRule="auto"/>
        <w:ind w:left="37" w:right="228" w:firstLine="557"/>
      </w:pPr>
      <w:r>
        <w:rPr>
          <w:spacing w:val="-4"/>
        </w:rPr>
        <w:t>灭火剂均质混合；灭火增效；射流增程；水罐消防车提质；举高</w:t>
      </w:r>
      <w:r>
        <w:rPr>
          <w:spacing w:val="-3"/>
        </w:rPr>
        <w:t>喷射消防车提质。</w:t>
      </w:r>
    </w:p>
    <w:p w14:paraId="16AF69F2">
      <w:pPr>
        <w:spacing w:before="2" w:line="230" w:lineRule="auto"/>
        <w:ind w:left="693"/>
        <w:outlineLvl w:val="1"/>
        <w:rPr>
          <w:rFonts w:ascii="楷体" w:hAnsi="楷体" w:eastAsia="楷体" w:cs="楷体"/>
          <w:sz w:val="31"/>
          <w:szCs w:val="31"/>
        </w:rPr>
      </w:pPr>
      <w:r>
        <w:rPr>
          <w:rFonts w:ascii="楷体" w:hAnsi="楷体" w:eastAsia="楷体" w:cs="楷体"/>
          <w:spacing w:val="-1"/>
          <w:sz w:val="31"/>
          <w:szCs w:val="31"/>
        </w:rPr>
        <w:t>（七）建议类别</w:t>
      </w:r>
    </w:p>
    <w:p w14:paraId="4D67A57E">
      <w:pPr>
        <w:pStyle w:val="2"/>
        <w:spacing w:before="210" w:line="214" w:lineRule="auto"/>
        <w:ind w:left="596"/>
      </w:pPr>
      <w:r>
        <w:rPr>
          <w:spacing w:val="-3"/>
        </w:rPr>
        <w:t>重大技术装备类。</w:t>
      </w:r>
    </w:p>
    <w:p w14:paraId="6BAE9133">
      <w:pPr>
        <w:spacing w:before="217" w:line="223" w:lineRule="auto"/>
        <w:ind w:left="693"/>
        <w:outlineLvl w:val="1"/>
        <w:rPr>
          <w:rFonts w:ascii="楷体" w:hAnsi="楷体" w:eastAsia="楷体" w:cs="楷体"/>
          <w:sz w:val="31"/>
          <w:szCs w:val="31"/>
        </w:rPr>
      </w:pPr>
      <w:r>
        <w:rPr>
          <w:rFonts w:ascii="楷体" w:hAnsi="楷体" w:eastAsia="楷体" w:cs="楷体"/>
          <w:spacing w:val="4"/>
          <w:sz w:val="31"/>
          <w:szCs w:val="31"/>
        </w:rPr>
        <w:t>（八）实施年限</w:t>
      </w:r>
    </w:p>
    <w:p w14:paraId="138089AD">
      <w:pPr>
        <w:pStyle w:val="2"/>
        <w:spacing w:before="240" w:line="231" w:lineRule="auto"/>
        <w:ind w:left="579"/>
      </w:pPr>
      <w:r>
        <w:rPr>
          <w:rFonts w:ascii="Times New Roman" w:hAnsi="Times New Roman" w:eastAsia="Times New Roman" w:cs="Times New Roman"/>
          <w:spacing w:val="-3"/>
        </w:rPr>
        <w:t>2026</w:t>
      </w:r>
      <w:r>
        <w:rPr>
          <w:spacing w:val="-3"/>
        </w:rPr>
        <w:t>年</w:t>
      </w:r>
      <w:r>
        <w:rPr>
          <w:rFonts w:ascii="Times New Roman" w:hAnsi="Times New Roman" w:eastAsia="Times New Roman" w:cs="Times New Roman"/>
          <w:spacing w:val="-3"/>
        </w:rPr>
        <w:t>-2028</w:t>
      </w:r>
      <w:r>
        <w:rPr>
          <w:spacing w:val="-3"/>
        </w:rPr>
        <w:t>年。</w:t>
      </w:r>
    </w:p>
    <w:p w14:paraId="1CF590B5">
      <w:pPr>
        <w:spacing w:before="195" w:line="225" w:lineRule="auto"/>
        <w:ind w:left="693"/>
        <w:outlineLvl w:val="1"/>
        <w:rPr>
          <w:rFonts w:ascii="楷体" w:hAnsi="楷体" w:eastAsia="楷体" w:cs="楷体"/>
          <w:sz w:val="31"/>
          <w:szCs w:val="31"/>
        </w:rPr>
      </w:pPr>
      <w:r>
        <w:rPr>
          <w:rFonts w:ascii="楷体" w:hAnsi="楷体" w:eastAsia="楷体" w:cs="楷体"/>
          <w:spacing w:val="4"/>
          <w:sz w:val="31"/>
          <w:szCs w:val="31"/>
        </w:rPr>
        <w:t>（九）建议支持项目数</w:t>
      </w:r>
    </w:p>
    <w:p w14:paraId="5F14C3A7">
      <w:pPr>
        <w:pStyle w:val="2"/>
        <w:spacing w:before="220" w:line="232" w:lineRule="auto"/>
        <w:ind w:left="606"/>
      </w:pPr>
      <w:r>
        <w:rPr>
          <w:rFonts w:ascii="Times New Roman" w:hAnsi="Times New Roman" w:eastAsia="Times New Roman" w:cs="Times New Roman"/>
          <w:spacing w:val="-16"/>
        </w:rPr>
        <w:t>1</w:t>
      </w:r>
      <w:r>
        <w:rPr>
          <w:spacing w:val="-16"/>
        </w:rPr>
        <w:t>至</w:t>
      </w:r>
      <w:r>
        <w:rPr>
          <w:rFonts w:ascii="Times New Roman" w:hAnsi="Times New Roman" w:eastAsia="Times New Roman" w:cs="Times New Roman"/>
          <w:spacing w:val="-16"/>
        </w:rPr>
        <w:t>2</w:t>
      </w:r>
      <w:r>
        <w:rPr>
          <w:spacing w:val="-16"/>
        </w:rPr>
        <w:t>项。</w:t>
      </w:r>
    </w:p>
    <w:p w14:paraId="3B816549">
      <w:pPr>
        <w:spacing w:before="191" w:line="227" w:lineRule="auto"/>
        <w:ind w:left="693"/>
        <w:outlineLvl w:val="1"/>
        <w:rPr>
          <w:rFonts w:ascii="楷体" w:hAnsi="楷体" w:eastAsia="楷体" w:cs="楷体"/>
          <w:sz w:val="31"/>
          <w:szCs w:val="31"/>
        </w:rPr>
      </w:pPr>
      <w:r>
        <w:rPr>
          <w:rFonts w:ascii="楷体" w:hAnsi="楷体" w:eastAsia="楷体" w:cs="楷体"/>
          <w:spacing w:val="3"/>
          <w:sz w:val="31"/>
          <w:szCs w:val="31"/>
        </w:rPr>
        <w:t>（十）示范工程概况</w:t>
      </w:r>
    </w:p>
    <w:p w14:paraId="6E682670">
      <w:pPr>
        <w:spacing w:line="227" w:lineRule="auto"/>
        <w:rPr>
          <w:rFonts w:ascii="楷体" w:hAnsi="楷体" w:eastAsia="楷体" w:cs="楷体"/>
          <w:sz w:val="31"/>
          <w:szCs w:val="31"/>
        </w:rPr>
        <w:sectPr>
          <w:pgSz w:w="11907" w:h="16839"/>
          <w:pgMar w:top="1431" w:right="1564" w:bottom="0" w:left="1785" w:header="0" w:footer="0" w:gutter="0"/>
          <w:cols w:space="720" w:num="1"/>
        </w:sectPr>
      </w:pPr>
    </w:p>
    <w:p w14:paraId="452786E9">
      <w:pPr>
        <w:pStyle w:val="2"/>
        <w:spacing w:before="217" w:line="368" w:lineRule="auto"/>
        <w:ind w:left="24" w:right="12" w:firstLine="560"/>
        <w:jc w:val="both"/>
      </w:pPr>
      <w:r>
        <w:rPr>
          <w:spacing w:val="-9"/>
        </w:rPr>
        <w:t>联合消防救援支队开展不少于</w:t>
      </w:r>
      <w:r>
        <w:rPr>
          <w:rFonts w:ascii="Times New Roman" w:hAnsi="Times New Roman" w:eastAsia="Times New Roman" w:cs="Times New Roman"/>
          <w:spacing w:val="-9"/>
        </w:rPr>
        <w:t>2</w:t>
      </w:r>
      <w:r>
        <w:rPr>
          <w:spacing w:val="-9"/>
        </w:rPr>
        <w:t>次演练。其中，开展不少于</w:t>
      </w:r>
      <w:r>
        <w:rPr>
          <w:rFonts w:ascii="Times New Roman" w:hAnsi="Times New Roman" w:eastAsia="Times New Roman" w:cs="Times New Roman"/>
          <w:spacing w:val="-9"/>
        </w:rPr>
        <w:t>l</w:t>
      </w:r>
      <w:r>
        <w:rPr>
          <w:spacing w:val="-9"/>
        </w:rPr>
        <w:t>次</w:t>
      </w:r>
      <w:r>
        <w:rPr>
          <w:spacing w:val="-4"/>
        </w:rPr>
        <w:t>水罐消防车灭火增效性能验证，重点验证车载均质混合、混合液喷射</w:t>
      </w:r>
      <w:r>
        <w:rPr>
          <w:spacing w:val="-3"/>
        </w:rPr>
        <w:t>灭火全过程作业性能；开展不少于</w:t>
      </w:r>
      <w:r>
        <w:rPr>
          <w:rFonts w:ascii="Times New Roman" w:hAnsi="Times New Roman" w:eastAsia="Times New Roman" w:cs="Times New Roman"/>
          <w:spacing w:val="-3"/>
        </w:rPr>
        <w:t>l</w:t>
      </w:r>
      <w:r>
        <w:rPr>
          <w:spacing w:val="-3"/>
        </w:rPr>
        <w:t>次举高喷射消防车高空</w:t>
      </w:r>
      <w:r>
        <w:rPr>
          <w:spacing w:val="-4"/>
        </w:rPr>
        <w:t>射流增程效果验证，重点验证跨车供液、高空喷射及射流增程性能。将改装样</w:t>
      </w:r>
      <w:r>
        <w:rPr>
          <w:spacing w:val="-2"/>
        </w:rPr>
        <w:t>车部署至不少于</w:t>
      </w:r>
      <w:r>
        <w:rPr>
          <w:rFonts w:ascii="Times New Roman" w:hAnsi="Times New Roman" w:eastAsia="Times New Roman" w:cs="Times New Roman"/>
          <w:spacing w:val="-2"/>
        </w:rPr>
        <w:t>l</w:t>
      </w:r>
      <w:r>
        <w:rPr>
          <w:spacing w:val="-2"/>
        </w:rPr>
        <w:t>支消防救援支队开展驻</w:t>
      </w:r>
      <w:r>
        <w:rPr>
          <w:spacing w:val="-3"/>
        </w:rPr>
        <w:t>队示范应用，由消防救援人</w:t>
      </w:r>
      <w:r>
        <w:rPr>
          <w:spacing w:val="-4"/>
        </w:rPr>
        <w:t>员开展实装操作、日常训练和应用评价，重点验证装备的实用性、可靠性及操作适应性，形成可复制、可推广的应用模式，支撑随州消防装备产业提质升级，为现役水罐消防车和举高喷射消防车提质及推广</w:t>
      </w:r>
      <w:r>
        <w:rPr>
          <w:spacing w:val="-7"/>
        </w:rPr>
        <w:t>应用提供示范。</w:t>
      </w:r>
    </w:p>
    <w:p w14:paraId="143DC5AE">
      <w:pPr>
        <w:spacing w:before="1" w:line="228" w:lineRule="auto"/>
        <w:ind w:left="693"/>
        <w:outlineLvl w:val="1"/>
        <w:rPr>
          <w:rFonts w:ascii="楷体" w:hAnsi="楷体" w:eastAsia="楷体" w:cs="楷体"/>
          <w:sz w:val="31"/>
          <w:szCs w:val="31"/>
        </w:rPr>
      </w:pPr>
      <w:r>
        <w:rPr>
          <w:rFonts w:ascii="楷体" w:hAnsi="楷体" w:eastAsia="楷体" w:cs="楷体"/>
          <w:spacing w:val="6"/>
          <w:sz w:val="31"/>
          <w:szCs w:val="31"/>
        </w:rPr>
        <w:t>（十一）项目组织方式及依据</w:t>
      </w:r>
    </w:p>
    <w:p w14:paraId="3F6162DB">
      <w:pPr>
        <w:pStyle w:val="2"/>
        <w:spacing w:before="213" w:line="369" w:lineRule="auto"/>
        <w:ind w:left="28" w:right="8" w:firstLine="548"/>
        <w:jc w:val="both"/>
      </w:pPr>
      <w:r>
        <w:rPr>
          <w:spacing w:val="-4"/>
        </w:rPr>
        <w:t>研制单位中须有注册地在湖北省随州市的车企参加。本项目拟采</w:t>
      </w:r>
      <w:r>
        <w:rPr>
          <w:spacing w:val="1"/>
        </w:rPr>
        <w:t>取</w:t>
      </w:r>
      <w:r>
        <w:rPr>
          <w:rFonts w:hint="eastAsia"/>
          <w:spacing w:val="1"/>
          <w:lang w:eastAsia="zh-CN"/>
        </w:rPr>
        <w:t>“揭榜挂帅”</w:t>
      </w:r>
      <w:r>
        <w:rPr>
          <w:spacing w:val="1"/>
        </w:rPr>
        <w:t>方式组织实施，依据为《随州职业技术学院 院士工作站</w:t>
      </w:r>
      <w:r>
        <w:rPr>
          <w:spacing w:val="-22"/>
        </w:rPr>
        <w:t>合作协议书》。</w:t>
      </w:r>
      <w:bookmarkStart w:id="0" w:name="_GoBack"/>
      <w:bookmarkEnd w:id="0"/>
    </w:p>
    <w:sectPr>
      <w:pgSz w:w="11907" w:h="16839"/>
      <w:pgMar w:top="1431" w:right="178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5D60C41"/>
    <w:rsid w:val="3ED6747E"/>
    <w:rsid w:val="4EC078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9008</Words>
  <Characters>9448</Characters>
  <TotalTime>5</TotalTime>
  <ScaleCrop>false</ScaleCrop>
  <LinksUpToDate>false</LinksUpToDate>
  <CharactersWithSpaces>9715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2026-09-16T19:55:00Z</dcterms:created>
  <dc:creator>捷 邓</dc:creator>
  <cp:lastModifiedBy>鹏鹏</cp:lastModifiedBy>
  <dcterms:modified xsi:type="dcterms:W3CDTF">2026-09-17T07:15:45Z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2026-09-17T15:06:05Z</vt:filetime>
  </property>
  <property fmtid="{D5CDD505-2E9C-101B-9397-08002B2CF9AE}" pid="4" name="KSOTemplateDocerSaveRecord">
    <vt:lpwstr>eyJoZGlkIjoiYjNlN2NlMWQ1ODFkOWVjZDEyY2QxYzVjNjljOGZlYmQiLCJ1c2VySWQiOiI4MTMyMTExMjUifQ==</vt:lpwstr>
  </property>
  <property fmtid="{D5CDD505-2E9C-101B-9397-08002B2CF9AE}" pid="5" name="KSOProductBuildVer">
    <vt:lpwstr>2052-12.1.0.28505</vt:lpwstr>
  </property>
  <property fmtid="{D5CDD505-2E9C-101B-9397-08002B2CF9AE}" pid="6" name="ICV">
    <vt:lpwstr>2A83A68AFDAC4E2A8140E1593FC99AFC_13</vt:lpwstr>
  </property>
</Properties>
</file>